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270A35" w:rsidRPr="00983126" w:rsidRDefault="00270A3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C906A9" w:rsidRDefault="00C906A9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DC6145" w:rsidRPr="00C906A9" w:rsidRDefault="00C906A9" w:rsidP="00C906A9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-567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C2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МЕДИЦИНСКОМУ </w:t>
      </w:r>
      <w:r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</w:t>
      </w:r>
      <w:r w:rsidR="004C292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ЕНЕНИЮ ЛЕКАРСТВЕННОГО ПРЕПАРАТА</w:t>
      </w: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Итразол</w:t>
      </w:r>
      <w:r w:rsidRPr="00983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®</w:t>
      </w: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номер:</w:t>
      </w: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Торговое наименование: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Итразол</w:t>
      </w:r>
      <w:r w:rsidRPr="009831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®</w:t>
      </w: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Международное непатентованное наименование (МНН):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итраконазол</w:t>
      </w: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Лекарственная форма: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капсулы</w:t>
      </w:r>
    </w:p>
    <w:p w:rsidR="00DC6145" w:rsidRPr="00983126" w:rsidRDefault="00DC6145" w:rsidP="00270A35">
      <w:pPr>
        <w:widowControl w:val="0"/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C906A9" w:rsidRDefault="00DC6145" w:rsidP="00270A3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BD3234" w:rsidRPr="00C906A9" w:rsidRDefault="00BD3234" w:rsidP="00270A3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капсула содержит:</w:t>
      </w:r>
    </w:p>
    <w:p w:rsidR="00DC6145" w:rsidRPr="00C906A9" w:rsidRDefault="00BD6D67" w:rsidP="00270A3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пеллеты – 464</w:t>
      </w:r>
      <w:r w:rsidR="000F5C29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мг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90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действующее</w:t>
      </w:r>
      <w:r w:rsidR="00DC608C" w:rsidRPr="00C90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вещество</w:t>
      </w:r>
      <w:r w:rsidR="00DC608C" w:rsidRPr="003E6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итраконазол – 100</w:t>
      </w:r>
      <w:r w:rsidR="000F5C29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мг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C608C" w:rsidRPr="00C90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вспомогательные вещества</w:t>
      </w:r>
      <w:r w:rsidR="00DC608C" w:rsidRPr="003E6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сахарные пеллеты (сахароза</w:t>
      </w:r>
      <w:r w:rsidR="005E62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крахмал </w:t>
      </w:r>
      <w:r w:rsidR="005E6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кукурузный</w:t>
      </w:r>
      <w:r w:rsidR="00DC608C" w:rsidRPr="00C906A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5E6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="00DC608C" w:rsidRPr="00C906A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906A9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гипромеллоза </w:t>
      </w:r>
      <w:r w:rsid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(гидроксипропилметилцеллюлоза)</w:t>
      </w:r>
      <w:r w:rsidR="005E62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06A9" w:rsidRPr="00C906A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E628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полоксамер 188 (Лутрол)</w:t>
      </w:r>
      <w:r w:rsidR="00BD3234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C608C" w:rsidRPr="00C906A9" w:rsidRDefault="00BD3234" w:rsidP="00270A3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DC608C" w:rsidRPr="00C906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апсулы твердые желатиновые</w:t>
      </w:r>
      <w:r w:rsidR="00DC608C" w:rsidRPr="007B33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титана диоксид, желатин.</w:t>
      </w:r>
    </w:p>
    <w:p w:rsidR="00DC6145" w:rsidRPr="00C906A9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45" w:rsidRPr="00C906A9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</w:p>
    <w:p w:rsidR="00DC6145" w:rsidRPr="00983126" w:rsidRDefault="00D4397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желатиновые к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апсулы </w:t>
      </w:r>
      <w:r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 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белого цвета. </w:t>
      </w:r>
      <w:proofErr w:type="gramStart"/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Содержимое капсул – сферические </w:t>
      </w:r>
      <w:r w:rsidR="00B4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пеллеты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43D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 или почти белого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C5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светло-коричневого</w:t>
      </w:r>
      <w:r w:rsidR="00DC608C" w:rsidRPr="00C90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цвета.</w:t>
      </w:r>
      <w:proofErr w:type="gramEnd"/>
    </w:p>
    <w:p w:rsidR="00DC608C" w:rsidRPr="00983126" w:rsidRDefault="00DC608C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Фармакотерапевтическая группа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Противогрибковое средство.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</w:t>
      </w:r>
      <w:r w:rsidR="00DC608C"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АТХ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02АС02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270A35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Фармакологические свойства</w:t>
      </w:r>
    </w:p>
    <w:p w:rsidR="00DC6145" w:rsidRPr="00983126" w:rsidRDefault="00DC6145" w:rsidP="00270A35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Фармакодинамика</w:t>
      </w:r>
    </w:p>
    <w:p w:rsidR="00DC6145" w:rsidRPr="00983126" w:rsidRDefault="00DC6145" w:rsidP="00270A35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Итраконазол – синтетическое противогрибковое средство широкого спектра действия, производное триазола. </w:t>
      </w:r>
      <w:r w:rsidR="004358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действия и</w:t>
      </w:r>
      <w:r w:rsidR="0043581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траконазол</w:t>
      </w:r>
      <w:r w:rsidR="004358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заключается в ингибировании биосинтеза эргостерола</w:t>
      </w:r>
      <w:r w:rsidR="007E1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основного компонента клеточной мембраны гриба, участвующего в поддержании структурной целостности мембраны. Нарушение синтеза эргостерола приводит к изменению проницаемости мембраны и лизису клетки, что и </w:t>
      </w:r>
      <w:r w:rsidR="0039156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обусловливает </w:t>
      </w:r>
      <w:r w:rsidR="005E1BE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противогрибковый эффект итраконазола.</w:t>
      </w:r>
    </w:p>
    <w:p w:rsidR="00435813" w:rsidRDefault="00DC6145" w:rsidP="0055431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Итраконазол </w:t>
      </w:r>
      <w:proofErr w:type="gramStart"/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активен</w:t>
      </w:r>
      <w:proofErr w:type="gramEnd"/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отношении</w:t>
      </w:r>
      <w:r w:rsidR="009D7EE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318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инфекций, вызываемых грибами: </w:t>
      </w:r>
    </w:p>
    <w:p w:rsidR="00DD4B4B" w:rsidRPr="00316074" w:rsidRDefault="00435813" w:rsidP="00554318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Candida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Candida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albicans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Candida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tropicalis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Candida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parapsilosis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Candida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dubliniensis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Aspergillus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</w:t>
      </w:r>
      <w:r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Blastomyces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dermatitidis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Cladosporium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="00DD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Coccidioides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immitis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Cryptococcus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neoformans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DD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Geotrichum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Histoplasma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="00DD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3F4602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D4B4B" w:rsidRPr="0098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capsulatum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Paracoccidioides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brasiliensis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DD4B4B"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Penicillium</w:t>
      </w:r>
      <w:r w:rsidR="00DD4B4B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marneffei</w:t>
      </w:r>
      <w:r w:rsidR="00DD4B4B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Sporothrix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schenckii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Tricho</w:t>
      </w:r>
      <w:r w:rsidR="007E1F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477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poron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98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477867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90A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90AE1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 w:rsidR="00E90AE1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Epidermophyton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floccosum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Fonsecaea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="00DD4B4B" w:rsidRPr="0098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Malassezia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98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="00DD4B4B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Microsporum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D4B4B" w:rsidRPr="0098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spp</w:t>
      </w:r>
      <w:r w:rsidR="00DD4B4B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3E7E44" w:rsidRPr="003160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3E7E44"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Pseudallescheria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3E7E44"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boydii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Trichophyton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spp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други</w:t>
      </w:r>
      <w:r w:rsidR="00E937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дрожжевы</w:t>
      </w:r>
      <w:r w:rsidR="00E937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грибковы</w:t>
      </w:r>
      <w:r w:rsidR="00E937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инфекци</w:t>
      </w:r>
      <w:r w:rsidR="00E937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</w:t>
      </w:r>
      <w:r w:rsidR="003E7E44" w:rsidRPr="0031607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</w:p>
    <w:p w:rsidR="00536DE5" w:rsidRPr="003E7E44" w:rsidRDefault="00536DE5" w:rsidP="004778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Candida</w:t>
      </w:r>
      <w:r w:rsidRPr="0047442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krusei</w:t>
      </w:r>
      <w:r w:rsidRPr="0047442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r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Candida</w:t>
      </w:r>
      <w:r w:rsidRPr="0047442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glabrata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Candida</w:t>
      </w:r>
      <w:r w:rsidRPr="0047442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tropicalis</w:t>
      </w:r>
      <w:r w:rsidRPr="0047442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наименее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чувствительными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3392" w:rsidRPr="00E761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Candida</w:t>
      </w:r>
      <w:r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3E7E44" w:rsidRPr="004744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3E7E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3E7E44" w:rsidRPr="00E7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E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vitro</w:t>
      </w:r>
      <w:r w:rsidR="003E7E44" w:rsidRPr="00E7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 </w:t>
      </w:r>
      <w:r w:rsidR="003E7E44"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Candida</w:t>
      </w:r>
      <w:r w:rsidR="003E7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несколько изолированно показывал однозначную резистентность к итраконазолу.</w:t>
      </w:r>
      <w:proofErr w:type="gramEnd"/>
      <w:r w:rsidR="003E7E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36DE5" w:rsidRPr="00983126" w:rsidRDefault="00536DE5" w:rsidP="00270A35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типами грибов, развитие которых не подавляется итраконазолом, являются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Zygomyces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Rhizopus spp., Rhizomucor spp., Mucor spp.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Absidia spp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Fusarium spp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Scedosporium spp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Scopulariopsis spp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DE5" w:rsidRPr="00983126" w:rsidRDefault="00536DE5" w:rsidP="00270A35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Устойчивость к азолам развивается медленно и часто является результатом нескольких генетических мутаций. Описанные механизмы развития устойчивости включают в себя гиперэкспрессию гена ERG11, кодирующего фермент 14α-деметилазу, который является основной мишенью действия азолов, и точечные мутации ERG11, приводящие к уменьшению связывания ферментов с азолами и/или к активации транспортных систем, что приводит к увеличению выведения азолов. Наблюдалась перекрестная устойчивость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Candida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spp.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препаратам группы азолов, хотя устойчивость к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препарату этой группы не</w:t>
      </w:r>
      <w:r w:rsidR="00957F3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означает наличие устойчивости к другим препаратам группы азолов. Сообщалось о штаммах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Aspergillus fumigates,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устойчивых к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итраконазолу.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Фармакокинетика</w:t>
      </w:r>
    </w:p>
    <w:p w:rsidR="00536DE5" w:rsidRPr="00983126" w:rsidRDefault="00F4318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концентрация итраконазола в плазме достигается в течение 2-5 ч</w:t>
      </w:r>
      <w:r w:rsidR="004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перорального приема. 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нелинейной фармакокинетики итраконазол накапливается в плазме крови при многократном приеме. </w:t>
      </w:r>
      <w:proofErr w:type="gramStart"/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Равновесная концентрация итраконазола, как правило, достигается в течение примерно 15 дней, при этом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концентрации (C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итраконазола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0,5</w:t>
      </w:r>
      <w:r w:rsidR="003F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мкг/мл, 1,1</w:t>
      </w:r>
      <w:r w:rsidR="003F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мкг/мл и 2,0</w:t>
      </w:r>
      <w:r w:rsidR="003F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мкг/мл соответственно после перорального </w:t>
      </w:r>
      <w:r w:rsidR="00A24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3F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мг 1 раз в день, 200 мг 1 раз в день, 200</w:t>
      </w:r>
      <w:r w:rsidR="003F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мг 2 раза в день.</w:t>
      </w:r>
      <w:proofErr w:type="gramEnd"/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Конечный период полувыведения обычно составляет 16-28</w:t>
      </w:r>
      <w:r w:rsidR="003F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при однократном приеме и 34-42 часа при многократном приеме. Концентрация итраконазола в плазме крови снижается до практически неопределяемого значения в течени</w:t>
      </w:r>
      <w:r w:rsidR="00C46AF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дней после прекращения терапии в зависимости от назначенной дозы и продолжительности лечения.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среднее значение клиренса итраконазола в плазме при внутривенном введении составляет 278</w:t>
      </w:r>
      <w:r w:rsid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мл/мин. 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Клиренс итраконазола уменьшается при более высоких дозах в связи с насыщением путей его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DE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печени. </w:t>
      </w:r>
    </w:p>
    <w:p w:rsidR="00536DE5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Абсорбция</w:t>
      </w:r>
    </w:p>
    <w:p w:rsidR="00536DE5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 быстро абсорбируется после приема внутрь.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18B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</w:t>
      </w:r>
      <w:r w:rsidR="00F4318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F4318B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F4318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4318B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неизмененного итраконазола в плазме </w:t>
      </w:r>
      <w:r w:rsidR="009D4B0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</w:t>
      </w:r>
      <w:r w:rsidR="004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B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D4B0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2-5 часов после </w:t>
      </w:r>
      <w:r w:rsidR="00F4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перорального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F4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капсулы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</w:t>
      </w:r>
      <w:proofErr w:type="gramEnd"/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биодоступность итраконазола после </w:t>
      </w:r>
      <w:r w:rsidR="00F43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перорального</w:t>
      </w:r>
      <w:r w:rsidR="00F4318B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C46AF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около 55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="00C46AF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пероральном применении м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аксимальная биодоступность итр</w:t>
      </w:r>
      <w:r w:rsidR="00C46AF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аконазола отмечается при приеме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капсул сразу после еды. </w:t>
      </w:r>
    </w:p>
    <w:p w:rsidR="00957F35" w:rsidRPr="00983126" w:rsidRDefault="00957F3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Всасывание</w:t>
      </w:r>
    </w:p>
    <w:p w:rsidR="00740934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Всасывание итраконазола</w:t>
      </w:r>
      <w:r w:rsidR="00C46AF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</w:t>
      </w:r>
      <w:r w:rsidR="000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капсул</w:t>
      </w:r>
      <w:r w:rsidR="00CC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снижено у пациентов с пониженной кислотностью желудочного сока, например, на фоне приема препаратов, подавляющих секрецию соляной кислоты в желудке (таких как антагонисты H</w:t>
      </w:r>
      <w:r w:rsidRPr="009831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-гистаминовых рецепторов, ингибиторы протонной помпы), или у пациентов с ахлоргидрией на фоне различных заболеваний. Всасывание итраконазола натощак у таких пац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иентов увеличивается при приеме </w:t>
      </w:r>
      <w:r w:rsidR="00CC4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итраконазола в капсулах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кислыми напитками (такими как недиетическая кола). </w:t>
      </w:r>
      <w:r w:rsidR="00A7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приеме </w:t>
      </w:r>
      <w:r w:rsidR="00CC44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 в капсулах</w:t>
      </w:r>
      <w:r w:rsidR="000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дозе 200</w:t>
      </w:r>
      <w:r w:rsidR="00634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32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мг однократно натощак совместно с недиетической колой после предварительного приема антагониста Н</w:t>
      </w:r>
      <w:r w:rsidR="000327CF" w:rsidRPr="00E761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0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-гистаминовых рецепторов ранитидина всасывание итраконазола было сопоставимым </w:t>
      </w:r>
      <w:r w:rsidR="000327CF" w:rsidRPr="00DD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всасыванием при приеме только итраконазола.</w:t>
      </w:r>
      <w:r w:rsidR="00032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B6" w:rsidRPr="00983126" w:rsidRDefault="00A77DB6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итраконазола ниже при приеме в виде капсул по сравнению с экспозицией итраконазола при приеме той же дозы в виде раствора для приема внутрь. </w:t>
      </w:r>
    </w:p>
    <w:p w:rsidR="00536DE5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Распределение</w:t>
      </w:r>
    </w:p>
    <w:p w:rsidR="00536DE5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 на 99,8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связывается с белками плазмы</w:t>
      </w:r>
      <w:r w:rsidR="004D7A2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основном с альбумином (гидроксиитраконазол связывается с альбумином на 99,6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Также отмечено сродство к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липидам. В несвязанном виде в плазме остается только 0,2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итраконазола. Кажущийся объем распределения </w:t>
      </w:r>
      <w:r w:rsidR="00A77DB6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957F3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634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л, что свидетельствует о его значительном распределении в тканях. Концентрации в легких, почках, костях, желудке, селезенке и мышцах в 2-3 раза выше, чем соответствующ</w:t>
      </w:r>
      <w:r w:rsidR="004D7A2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4D7A2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плазме</w:t>
      </w:r>
      <w:r w:rsidR="004D7A2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концентрация в тканях, содержащих кератин, особенно в коже, примерно в 4 раза превышает концентрацию в плазме</w:t>
      </w:r>
      <w:r w:rsidR="004D7A2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Концентрация в спинномозговой жидкости значительно ниже, чем в плазме крови</w:t>
      </w:r>
      <w:r w:rsidR="00A77D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7F3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была продемонстрирована эффективность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итраконазола против возбудителей инфекций, присутствующих в цереброспинальной жидкости. </w:t>
      </w:r>
    </w:p>
    <w:p w:rsidR="00536DE5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Метаболизм </w:t>
      </w:r>
    </w:p>
    <w:p w:rsidR="00536DE5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было показано в исследованиях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in vitro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7A2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изофермент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CYP3A4 является основным изоферментом, участвующим в метаболизме итраконазола.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Итраконазол подвергается активному метаболизму в печени с образованием множества метаболитов. Основным метаболитом является гидроксиитраконазол, который </w:t>
      </w:r>
      <w:r w:rsidRPr="009831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in vitro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противогрибковой активностью, сопоставимой с итраконазолом. Концентраци</w:t>
      </w:r>
      <w:r w:rsidR="00A77D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гидроксиитраконазола в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плазме 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крови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 в 2 раза </w:t>
      </w:r>
      <w:r w:rsidR="00A77DB6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</w:t>
      </w:r>
      <w:r w:rsidR="00A77DB6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A77DB6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концентрацию итраконазола. </w:t>
      </w:r>
    </w:p>
    <w:p w:rsidR="00536DE5" w:rsidRPr="00983126" w:rsidRDefault="002B51E3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Выведение</w:t>
      </w:r>
    </w:p>
    <w:p w:rsidR="00722799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Итраконазол выводится преимущественно в форме неактивных метаболитов 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мочой</w:t>
      </w:r>
      <w:r w:rsidR="005A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(35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калом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(54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одной недели после приема раствора для приема внутрь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Почечная экскреция итраконазола и его активного метаболита гидроксиитраконазола составляет менее 1</w:t>
      </w:r>
      <w:r w:rsidR="00634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дозы препарата, введенной внутривенно.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AF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изучения фармакокинетики </w:t>
      </w:r>
      <w:r w:rsidR="00FB3AFE" w:rsidRPr="009831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14</w:t>
      </w:r>
      <w:r w:rsidR="00FB3AF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С-меченого итраконазола после перорального приема, выведение неизменного итраконазола 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калом</w:t>
      </w:r>
      <w:r w:rsidR="00FB3AF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варьирует от 3</w:t>
      </w:r>
      <w:r w:rsidR="00634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3AF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 18</w:t>
      </w:r>
      <w:r w:rsidR="00634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3AF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принятой дозы.</w:t>
      </w:r>
    </w:p>
    <w:p w:rsidR="00536DE5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перераспределение итраконазола из тканей, содержащих кератин, является незначительным, выведение итраконазола и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тканей связано с регенерацией эпидермиса. В отличие от плазмы крови, концентрация итраконазола в коже сохраняется в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2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4 недель после прекращения 4-недельного лечения, а концентрация в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кератине ногтя, где итраконазол может быть обнаружен уже через 1 неделю после начала лечения, </w:t>
      </w:r>
      <w:proofErr w:type="gramStart"/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сохраняется</w:t>
      </w:r>
      <w:proofErr w:type="gramEnd"/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в течение шести месяцев после окончания </w:t>
      </w:r>
      <w:r w:rsidR="008F18A6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3-месячного курса лечения.</w:t>
      </w:r>
    </w:p>
    <w:p w:rsidR="00536DE5" w:rsidRPr="00983126" w:rsidRDefault="0074093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Фармакокинетика у особых групп пациентов</w:t>
      </w:r>
    </w:p>
    <w:p w:rsidR="00536DE5" w:rsidRPr="00983126" w:rsidRDefault="0074093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Пациенты с н</w:t>
      </w:r>
      <w:r w:rsidR="00536DE5"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арушение</w:t>
      </w:r>
      <w:r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536DE5"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функции печени</w:t>
      </w:r>
    </w:p>
    <w:p w:rsidR="00536DE5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Итраконазол </w:t>
      </w:r>
      <w:r w:rsidR="00957F3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метаболизируется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в печени. В ходе исследования фармакокинетики сравнивали фармакокинетические показатели пациентов с циррозом печени и здоровых добровольцев. У пациентов с циррозом печени при однократном приеме 100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мг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итраконазола 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="00A14ADF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="00A14ADF" w:rsidRPr="009831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D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плазме</w:t>
      </w:r>
      <w:r w:rsidR="00D926C8" w:rsidRPr="009831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значительно ниже (на 47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%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чем у здоровых 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добровольцев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Средний период полувыведения при приеме однократной дозы был увеличен у пациентов с циррозом печени и 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 в этом исследовании 37</w:t>
      </w:r>
      <w:r w:rsidR="00C85DC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±</w:t>
      </w:r>
      <w:r w:rsidR="00C85DC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34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по сравнению с 16</w:t>
      </w:r>
      <w:r w:rsidR="00C85DC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±</w:t>
      </w:r>
      <w:r w:rsidR="00C85DC7" w:rsidRPr="009831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72279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E6DE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здоровых добровольцев. Средняя 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итраконазола (площадь под кривой «концентрация-время»,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AUC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аналогичной у пациентов с циррозом печени и у здоровых добровольцев. Данные о длительном применении итраконазола у пациентов с циррозом печени отсутствуют (см. разделы «Способ применения и дозы» и «Особые указания»). </w:t>
      </w:r>
    </w:p>
    <w:p w:rsidR="00536DE5" w:rsidRPr="00983126" w:rsidRDefault="0074093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Пациенты с н</w:t>
      </w:r>
      <w:r w:rsidR="00536DE5"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арушение</w:t>
      </w:r>
      <w:r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536DE5"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функции почек</w:t>
      </w:r>
    </w:p>
    <w:p w:rsidR="004A30C3" w:rsidRPr="00983126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пероральном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применении итраконазола для лечения пациентов с нарушениями функции почек ограничены. У пациентов с уремией, у которых средний клиренс креатинина </w:t>
      </w:r>
      <w:r w:rsidR="00D41E0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составлял 13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мл</w:t>
      </w:r>
      <w:r w:rsidR="00D41E0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/мин/1,73</w:t>
      </w:r>
      <w:r w:rsidR="00634F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9831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воздействие итраконазола (</w:t>
      </w:r>
      <w:r w:rsidR="00D926C8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AUC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DE6D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ниже по сравнению с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популяцией. Не выявлено значительного влияния гемодиализа или длительного перитонеального диализа, проводимого в амбулаторных условиях, на показатели фармакокинетики итраконазола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BC2514" w:rsidRPr="009831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BC2514" w:rsidRPr="009831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C251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AUC</w:t>
      </w:r>
      <w:r w:rsidR="00BC2514" w:rsidRPr="00E761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0-8ч</w:t>
      </w:r>
      <w:r w:rsidR="00BC25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43D2" w:rsidRDefault="00BC251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однократного внутривенного введения </w:t>
      </w:r>
      <w:r w:rsidR="00DE6DE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конечный период полувыведения у пациентов с незначительным (определяется в исследовании как клиренс креатинина 50-79</w:t>
      </w:r>
      <w:r w:rsidR="005B0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мл/мин), средним (клиренс креатинина 20-49</w:t>
      </w:r>
      <w:r w:rsidR="005B0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мл/мин)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выраженным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функции почек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(клиренс креатинина &lt; 20</w:t>
      </w:r>
      <w:r w:rsidR="005B0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мл/мин) сходный с таков</w:t>
      </w:r>
      <w:r w:rsidR="00DE6D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м у здоровых людей (диапазон средних значений 42-49 ч</w:t>
      </w:r>
      <w:r w:rsidR="00DE6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 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48 ч</w:t>
      </w:r>
      <w:r w:rsidR="00DE6D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асами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пациентов с нарушениями функции почек и</w:t>
      </w:r>
      <w:proofErr w:type="gramEnd"/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здоровых добровольцев соответственно). Общая экспозиция итраконазола, на основании оценки показателя </w:t>
      </w:r>
      <w:r w:rsidR="00F343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r w:rsidR="007579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757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пациентов с умеренными и выраженными нарушениями функции почек примерно на 30</w:t>
      </w:r>
      <w:r w:rsidR="005B0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>% и 40</w:t>
      </w:r>
      <w:r w:rsidR="005B0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соответственно, по сравнению с пациентами, у которых функция почек не нарушена.</w:t>
      </w:r>
    </w:p>
    <w:p w:rsidR="00DE6DE9" w:rsidRPr="00E761AC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длительном </w:t>
      </w:r>
      <w:r w:rsid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итраконазола пациентами с нарушениями функции почек 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недоступны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диализа не влияет на период полувыведения или клиренс итраконазола или гидроксиитраконазола.</w:t>
      </w:r>
    </w:p>
    <w:p w:rsidR="00536DE5" w:rsidRPr="00983126" w:rsidRDefault="0074093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Пациенты д</w:t>
      </w:r>
      <w:r w:rsidR="00536DE5"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</w:t>
      </w:r>
      <w:r w:rsidRPr="009831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ского возраста</w:t>
      </w:r>
    </w:p>
    <w:p w:rsidR="00536DE5" w:rsidRDefault="00536DE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фармакокинетике итраконазола у пациентов детского возраста ограничены. Клинические исследования фармакокинетики у детей и подростков в возрасте от 5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 до 17 лет проводились с применением итраконазола в капсул</w:t>
      </w:r>
      <w:r w:rsidR="00F343D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раствор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приема внутрь и раствор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внутривенного введения. Индивидуальные дозы </w:t>
      </w:r>
      <w:r w:rsidR="00F65FC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капсул и раствора для приема внутрь варьировали от 1,5 до 12,5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мг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/кг/день при приеме один или два раза в день. При приеме 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и той же суточной дозе два раза в день по сравнению с приемом один раз в день максимальная и минимальная плазменн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сопоставим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таковыми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взрослых пациентов при приеме итраконазола один раз в день. Не было зарегистрировано существенных возрастных различий показателей AUC итраконазола и его общего клиренса; в редких случаях наблюдалась незначительная взаимосвязь между возрастом пациентов и значениями объема распределения </w:t>
      </w:r>
      <w:r w:rsidR="00F65FC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C</w:t>
      </w:r>
      <w:r w:rsidRPr="0098312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конечного периода полувыведения. Установленный клиренс итраконазола и его объем распределения зависят от массы тела пациентов.</w:t>
      </w:r>
    </w:p>
    <w:p w:rsidR="007B19A8" w:rsidRPr="00983126" w:rsidRDefault="007B19A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D467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к применению</w:t>
      </w:r>
    </w:p>
    <w:p w:rsidR="00E34B0B" w:rsidRDefault="00740934" w:rsidP="004D328E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кожи и слизистых оболочек: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740934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вульвовагинальный кандидоз;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E34B0B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отрубевидный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740934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дерматомикозы;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740934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кандидоз слизистой оболочки полости рта;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28E" w:rsidRPr="00983126" w:rsidRDefault="00740934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грибковый кератит; </w:t>
      </w:r>
    </w:p>
    <w:p w:rsidR="004D328E" w:rsidRPr="00983126" w:rsidRDefault="00740934" w:rsidP="004D328E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онихомикозы, </w:t>
      </w:r>
      <w:proofErr w:type="gramStart"/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вызванные</w:t>
      </w:r>
      <w:proofErr w:type="gramEnd"/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дерматофитами и/или дрожжеподобными грибами;</w:t>
      </w:r>
    </w:p>
    <w:p w:rsidR="00E34B0B" w:rsidRDefault="00740934" w:rsidP="004D328E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системные микозы: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740934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аспергиллез и кандидоз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740934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криптококкоз (включая криптококковый менингит): у пациентов с иммунодефицитом и у всех пациентов с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криптококкозом центральной нервной системы </w:t>
      </w:r>
      <w:r w:rsidR="00862B5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="00862B5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применяться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случаях, если препараты первой линии лечения не применимы в данном случае или не эффективны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4B0B" w:rsidRDefault="00DE1A20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гистоплазмоз;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DE1A20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бластомикоз;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DE1A20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споротрихоз;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B0B" w:rsidRDefault="00DE1A20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паракокцидиоидомикоз;</w:t>
      </w:r>
      <w:r w:rsidR="004D328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6145" w:rsidRPr="00983126" w:rsidRDefault="00740934" w:rsidP="00E761AC">
      <w:pPr>
        <w:pStyle w:val="af9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редко встречающиеся с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истемные или тропические микозы.</w:t>
      </w:r>
    </w:p>
    <w:p w:rsidR="00740934" w:rsidRPr="00983126" w:rsidRDefault="0074093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45" w:rsidRPr="00983126" w:rsidRDefault="00DC6145" w:rsidP="00D467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</w:t>
      </w:r>
    </w:p>
    <w:p w:rsidR="00A14ADF" w:rsidRDefault="001E2A56" w:rsidP="00A14ADF">
      <w:pPr>
        <w:pStyle w:val="af9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715E7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ипер</w:t>
      </w:r>
      <w:r w:rsidR="00862B53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чувствительность</w:t>
      </w:r>
      <w:r w:rsidR="00740934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итраконазолу или </w:t>
      </w:r>
      <w:r w:rsidR="003715E7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 веществам</w:t>
      </w:r>
      <w:r w:rsidR="00A14ADF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A56" w:rsidRPr="00A14ADF" w:rsidRDefault="001E2A56" w:rsidP="00A14ADF">
      <w:pPr>
        <w:pStyle w:val="af9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4B0B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овместное применение итраконазола с</w:t>
      </w:r>
      <w:r w:rsidR="00740934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B0B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препаратами-</w:t>
      </w:r>
      <w:r w:rsidR="00E34B0B" w:rsidRPr="007A6D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субстрат</w:t>
      </w:r>
      <w:r w:rsidR="00E34B0B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740934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изофермента CYP3A4 </w:t>
      </w:r>
      <w:r w:rsidR="00E34B0B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увеличивать концентрацию </w:t>
      </w:r>
      <w:r w:rsidR="007B19A8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 w:rsidR="00E34B0B"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плазме, усиливать или </w:t>
      </w:r>
      <w:r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пролонгировать </w:t>
      </w:r>
      <w:proofErr w:type="gramStart"/>
      <w:r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терапевтический</w:t>
      </w:r>
      <w:proofErr w:type="gramEnd"/>
      <w:r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нежелательные эффекты, которые могут вызывать потенциально опасную ситуацию. Например, повышение концентрации в плазме некоторых препаратов может вызвать удлинение  интервала </w:t>
      </w:r>
      <w:r w:rsidRPr="00A14A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QT</w:t>
      </w:r>
      <w:r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сердечную тахиаритмию, включая случаи двунаправлен</w:t>
      </w:r>
      <w:r w:rsidR="00245E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веретенообразной желудочковой тахикардии, фатальной аритмии (см. раздел «Взаимодействие с другими лекарственными средствами»)</w:t>
      </w:r>
      <w:r w:rsid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B53" w:rsidRPr="00983126" w:rsidRDefault="001E2A56" w:rsidP="00270A35">
      <w:pPr>
        <w:pStyle w:val="af9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дновременный 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препаратов-субстратов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изофермента CYP3A4 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раздел «Взаимодействие с другими лекарственными 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средствами»)</w:t>
      </w:r>
      <w:r w:rsidR="003715E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таких как:</w:t>
      </w:r>
    </w:p>
    <w:p w:rsidR="003715E7" w:rsidRPr="00983126" w:rsidRDefault="003715E7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левацетилметадон, метадон;</w:t>
      </w:r>
    </w:p>
    <w:p w:rsidR="003715E7" w:rsidRPr="00983126" w:rsidRDefault="003715E7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дизопирамид, дофетилид, дронедарон, хинидин;</w:t>
      </w:r>
    </w:p>
    <w:p w:rsidR="003715E7" w:rsidRPr="00983126" w:rsidRDefault="003715E7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телитромицин у пациентов с нарушениями функции почек или печени тяжелой степени;</w:t>
      </w:r>
    </w:p>
    <w:p w:rsidR="003715E7" w:rsidRPr="00983126" w:rsidRDefault="003715E7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тикаг</w:t>
      </w:r>
      <w:r w:rsidR="00E56D2E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релор;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галофантрин;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астемизол, мизоластин, терфенадин;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алкалоиды спорыньи: дигидроэрготамин, эргометрин (эргоновин), эрготамин, метилэргометрин (метилэргоновин), элетриптан;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иринот</w:t>
      </w:r>
      <w:r w:rsidR="002077E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луразидон, мидазолам для перорального приема, пимозид, сертиндол, триазолам;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бепридил, фелодипин, лерканидипин, нисолдипин;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ивабрадин, ранолазин;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эплеренон;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цизаприд, домперидон;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ловастатин, симвастатин, аторвастатин;</w:t>
      </w:r>
    </w:p>
    <w:p w:rsidR="00E56D2E" w:rsidRPr="00983126" w:rsidRDefault="00E56D2E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фезотеродин у пациентов с недостаточностью функции почек или печени умеренной или тяжелой степени, солифенацин у пациентов с недостаточностью функции </w:t>
      </w:r>
      <w:r w:rsidR="003776D6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почек тяжелой степени и с недостаточностью функции печени умеренной или тяжелой степени;</w:t>
      </w:r>
    </w:p>
    <w:p w:rsidR="003776D6" w:rsidRPr="00983126" w:rsidRDefault="003776D6" w:rsidP="002077E9">
      <w:pPr>
        <w:pStyle w:val="af9"/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колхицин у пациентов с нарушениями функции печени или почек</w:t>
      </w:r>
      <w:r w:rsid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E2" w:rsidRPr="00983126" w:rsidRDefault="00104A24" w:rsidP="00270A35">
      <w:pPr>
        <w:pStyle w:val="af9"/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776D6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оническая сердечная недостаточность в настоящее время или в анамнезе (за</w:t>
      </w:r>
      <w:r w:rsidR="002077E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терапии жизнеугрожающих или других опасных инфекций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; см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77E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«Особые указания»)</w:t>
      </w:r>
      <w:r w:rsidR="00A14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E2" w:rsidRPr="00983126" w:rsidRDefault="00A14ADF" w:rsidP="00270A35">
      <w:pPr>
        <w:pStyle w:val="af9"/>
        <w:widowControl w:val="0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епереносимость фруктозы, дефицит сахаразы/изомальтазы, глю</w:t>
      </w:r>
      <w:r w:rsidR="005E1BE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козо-галактозная мальабсорбц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E2" w:rsidRPr="00983126" w:rsidRDefault="00A14ADF" w:rsidP="00270A35">
      <w:pPr>
        <w:pStyle w:val="af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E1A20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возраст до 3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145" w:rsidRPr="00983126" w:rsidRDefault="00A14ADF" w:rsidP="00270A35">
      <w:pPr>
        <w:pStyle w:val="af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еременность</w:t>
      </w:r>
      <w:r w:rsidR="0010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случаев, угрожающих жизни, и если ожидаемый положительный эффект для матери превышает возможный вред для плода)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вскармливани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0934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934" w:rsidRPr="00983126" w:rsidRDefault="0074093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D467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 осторожностью</w:t>
      </w:r>
    </w:p>
    <w:p w:rsidR="005E1BE2" w:rsidRPr="00983126" w:rsidRDefault="009645F0" w:rsidP="00270A35">
      <w:pPr>
        <w:pStyle w:val="af9"/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5E1BE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1BE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печени;</w:t>
      </w:r>
    </w:p>
    <w:p w:rsidR="005E1BE2" w:rsidRPr="00983126" w:rsidRDefault="009645F0" w:rsidP="00270A35">
      <w:pPr>
        <w:pStyle w:val="af9"/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</w:t>
      </w:r>
      <w:r w:rsidR="00862B5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E1BE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печени и почек;</w:t>
      </w:r>
    </w:p>
    <w:p w:rsidR="005E1BE2" w:rsidRPr="00983126" w:rsidRDefault="00862B53" w:rsidP="00270A35">
      <w:pPr>
        <w:pStyle w:val="af9"/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чувствительность</w:t>
      </w:r>
      <w:r w:rsidR="005E1BE2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азолам;</w:t>
      </w:r>
    </w:p>
    <w:p w:rsidR="00862B53" w:rsidRPr="00983126" w:rsidRDefault="00862B53" w:rsidP="00270A35">
      <w:pPr>
        <w:pStyle w:val="af9"/>
        <w:widowControl w:val="0"/>
        <w:numPr>
          <w:ilvl w:val="2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9645F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гиперчувствительности к другим азолам;</w:t>
      </w:r>
    </w:p>
    <w:p w:rsidR="005E1BE2" w:rsidRPr="00983126" w:rsidRDefault="005E1BE2" w:rsidP="00270A35">
      <w:pPr>
        <w:pStyle w:val="af9"/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пожилых пациентов;</w:t>
      </w:r>
    </w:p>
    <w:p w:rsidR="00DC6145" w:rsidRPr="00983126" w:rsidRDefault="005E1BE2" w:rsidP="00270A35">
      <w:pPr>
        <w:pStyle w:val="af9"/>
        <w:widowControl w:val="0"/>
        <w:numPr>
          <w:ilvl w:val="2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(см. также раздел «Особые указания»).</w:t>
      </w:r>
    </w:p>
    <w:p w:rsidR="00862B53" w:rsidRPr="00983126" w:rsidRDefault="00862B53" w:rsidP="00270A35">
      <w:pPr>
        <w:pStyle w:val="af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E2" w:rsidRPr="00983126" w:rsidRDefault="00DC6145" w:rsidP="00D467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при беременности и в период грудного вскармливания</w:t>
      </w:r>
    </w:p>
    <w:p w:rsidR="005E1BE2" w:rsidRPr="00983126" w:rsidRDefault="005E1BE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Беременность </w:t>
      </w:r>
    </w:p>
    <w:p w:rsidR="005E1BE2" w:rsidRDefault="00736D30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</w:t>
      </w:r>
      <w:r w:rsidR="005E530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применяться</w:t>
      </w:r>
      <w:r w:rsidR="00601258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30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беременности</w:t>
      </w:r>
      <w:r w:rsidR="0060125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угрожающих жизни</w:t>
      </w:r>
      <w:r w:rsidR="00AE2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если ожидаемый положительный эффект для матери превышает возможный вред для плода</w:t>
      </w:r>
      <w:r w:rsidR="007B3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57E" w:rsidRDefault="00AE257E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доклинических исследованиях было показано, что итраконазол обладает репродуктивной токсичностью.</w:t>
      </w:r>
    </w:p>
    <w:p w:rsidR="00AE257E" w:rsidRDefault="00AE257E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</w:t>
      </w:r>
      <w:r w:rsidR="007A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беременности недостаточно. В ходе клинического применения </w:t>
      </w:r>
      <w:r w:rsidR="0073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регистрации были отмечены случаи врожденных аномалий. Такие случаи включали нарушения развития зрения, скелета,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мочеполовой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сердечно-сосудистой систем, а также хромосомные нарушения и множественные пороки развития. Однако является ли применение </w:t>
      </w:r>
      <w:r w:rsidRPr="0073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возникновения данных нарушений, достоверно не установлено.</w:t>
      </w:r>
    </w:p>
    <w:p w:rsidR="00AE257E" w:rsidRPr="00983126" w:rsidRDefault="00AE257E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Эпидемиологические данные в отношении воздействия </w:t>
      </w:r>
      <w:r w:rsidRPr="0073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тр</w:t>
      </w:r>
      <w:r w:rsidR="0073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местр беременности, в основном у пациенток, получавших краткосрочную терапию по поводу вульвовагинальных кандидозов, не выявили повышенного риска развития врожденных аномалий по сравнению с контрольной группой, не подвергавшейся воздействию ни одного из известных тератогенных факторов</w:t>
      </w:r>
      <w:r w:rsidR="008D38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307" w:rsidRPr="00983126" w:rsidRDefault="005E530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Женщинам детородного возраста, принимающим </w:t>
      </w:r>
      <w:r w:rsidR="00736D30" w:rsidRPr="00736D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использовать надежные методы контрацепции на протяжении всего курса лечения вплоть до наступления первой менструации после его завершения.</w:t>
      </w:r>
    </w:p>
    <w:p w:rsidR="005E5307" w:rsidRPr="00983126" w:rsidRDefault="005E530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 грудного вскармливания</w:t>
      </w:r>
    </w:p>
    <w:p w:rsidR="005E5307" w:rsidRPr="00983126" w:rsidRDefault="005E530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итраконазол может проникать в грудное молоко, при необходимости применени</w:t>
      </w:r>
      <w:r w:rsidR="00CC01ED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 грудное вскармливание следует прекратить.</w:t>
      </w:r>
    </w:p>
    <w:p w:rsidR="008F18A6" w:rsidRPr="00983126" w:rsidRDefault="008F18A6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7A4" w:rsidRPr="00983126" w:rsidRDefault="00DC6145" w:rsidP="00D467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применения и дозы</w:t>
      </w:r>
    </w:p>
    <w:p w:rsidR="008D38AB" w:rsidRDefault="008D38AB" w:rsidP="00D46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оптимальной абсорбции </w:t>
      </w:r>
      <w:r w:rsidR="00DD5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итраконазола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 принимать </w:t>
      </w:r>
      <w:r w:rsidR="00DD5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препарат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Итразол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®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DD5E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после еды.</w:t>
      </w:r>
    </w:p>
    <w:p w:rsidR="000D5D60" w:rsidRPr="00983126" w:rsidRDefault="008D38AB" w:rsidP="00E761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Капсулы следует глотать целиком.</w:t>
      </w:r>
    </w:p>
    <w:p w:rsidR="00523890" w:rsidRPr="00983126" w:rsidRDefault="00523890" w:rsidP="000F5C29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631"/>
        <w:gridCol w:w="910"/>
        <w:gridCol w:w="502"/>
        <w:gridCol w:w="80"/>
        <w:gridCol w:w="142"/>
        <w:gridCol w:w="723"/>
        <w:gridCol w:w="723"/>
        <w:gridCol w:w="789"/>
        <w:gridCol w:w="142"/>
        <w:gridCol w:w="581"/>
        <w:gridCol w:w="800"/>
        <w:gridCol w:w="762"/>
        <w:gridCol w:w="786"/>
      </w:tblGrid>
      <w:tr w:rsidR="00DE3E67" w:rsidRPr="00983126" w:rsidTr="005B01EC">
        <w:tc>
          <w:tcPr>
            <w:tcW w:w="4077" w:type="dxa"/>
            <w:gridSpan w:val="3"/>
            <w:vAlign w:val="center"/>
          </w:tcPr>
          <w:p w:rsidR="004B0A2B" w:rsidRPr="00983126" w:rsidRDefault="004B0A2B" w:rsidP="000F5C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Показание</w:t>
            </w:r>
          </w:p>
        </w:tc>
        <w:tc>
          <w:tcPr>
            <w:tcW w:w="2593" w:type="dxa"/>
            <w:gridSpan w:val="6"/>
            <w:vAlign w:val="center"/>
          </w:tcPr>
          <w:p w:rsidR="004B0A2B" w:rsidRPr="00983126" w:rsidRDefault="004B0A2B" w:rsidP="000F5C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Доза</w:t>
            </w:r>
          </w:p>
        </w:tc>
        <w:tc>
          <w:tcPr>
            <w:tcW w:w="2901" w:type="dxa"/>
            <w:gridSpan w:val="4"/>
            <w:vAlign w:val="center"/>
          </w:tcPr>
          <w:p w:rsidR="004B0A2B" w:rsidRPr="00983126" w:rsidRDefault="004B0A2B" w:rsidP="000F5C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4B0A2B" w:rsidRPr="00983126" w:rsidRDefault="004B0A2B" w:rsidP="000F5C2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лечения</w:t>
            </w:r>
          </w:p>
        </w:tc>
      </w:tr>
      <w:tr w:rsidR="00DE3E67" w:rsidRPr="00983126" w:rsidTr="005B01EC">
        <w:tc>
          <w:tcPr>
            <w:tcW w:w="4077" w:type="dxa"/>
            <w:gridSpan w:val="3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Вульвовагинальный</w:t>
            </w:r>
          </w:p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кандидоз</w:t>
            </w:r>
          </w:p>
        </w:tc>
        <w:tc>
          <w:tcPr>
            <w:tcW w:w="2593" w:type="dxa"/>
            <w:gridSpan w:val="6"/>
            <w:vAlign w:val="center"/>
          </w:tcPr>
          <w:p w:rsidR="00CD036F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раза в сутки</w:t>
            </w:r>
          </w:p>
          <w:p w:rsidR="005B01EC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901" w:type="dxa"/>
            <w:gridSpan w:val="4"/>
            <w:vAlign w:val="center"/>
          </w:tcPr>
          <w:p w:rsidR="005B01EC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5B01EC" w:rsidRPr="00983126" w:rsidRDefault="004B0A2B" w:rsidP="005B01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4B0A2B" w:rsidRPr="00983126" w:rsidRDefault="004B0A2B" w:rsidP="005B01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</w:t>
            </w:r>
          </w:p>
        </w:tc>
      </w:tr>
      <w:tr w:rsidR="00DE3E67" w:rsidRPr="00983126" w:rsidTr="005B01EC">
        <w:tc>
          <w:tcPr>
            <w:tcW w:w="4077" w:type="dxa"/>
            <w:gridSpan w:val="3"/>
            <w:vAlign w:val="center"/>
          </w:tcPr>
          <w:p w:rsidR="004B0A2B" w:rsidRPr="00983126" w:rsidRDefault="008D38A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Отрубевидный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B0A2B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лишай</w:t>
            </w:r>
          </w:p>
        </w:tc>
        <w:tc>
          <w:tcPr>
            <w:tcW w:w="2593" w:type="dxa"/>
            <w:gridSpan w:val="6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901" w:type="dxa"/>
            <w:gridSpan w:val="4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</w:tc>
      </w:tr>
      <w:tr w:rsidR="00DE3E67" w:rsidRPr="00983126" w:rsidTr="005B01EC">
        <w:tc>
          <w:tcPr>
            <w:tcW w:w="4077" w:type="dxa"/>
            <w:gridSpan w:val="3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Дерматомикозы гладкой кожи</w:t>
            </w:r>
          </w:p>
        </w:tc>
        <w:tc>
          <w:tcPr>
            <w:tcW w:w="2593" w:type="dxa"/>
            <w:gridSpan w:val="6"/>
            <w:vAlign w:val="center"/>
          </w:tcPr>
          <w:p w:rsidR="00CD036F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  <w:p w:rsidR="005B01EC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901" w:type="dxa"/>
            <w:gridSpan w:val="4"/>
            <w:vAlign w:val="center"/>
          </w:tcPr>
          <w:p w:rsidR="005B01EC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  <w:p w:rsidR="005B01EC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</w:t>
            </w:r>
          </w:p>
        </w:tc>
      </w:tr>
      <w:tr w:rsidR="00DE3E67" w:rsidRPr="00983126" w:rsidTr="005B01EC">
        <w:tc>
          <w:tcPr>
            <w:tcW w:w="4077" w:type="dxa"/>
            <w:gridSpan w:val="3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высококератинизированных областей кожного покрова, таких как кисти рук и стопы</w:t>
            </w:r>
          </w:p>
        </w:tc>
        <w:tc>
          <w:tcPr>
            <w:tcW w:w="2593" w:type="dxa"/>
            <w:gridSpan w:val="6"/>
            <w:vAlign w:val="center"/>
          </w:tcPr>
          <w:p w:rsidR="00CD036F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раза в сутки</w:t>
            </w:r>
          </w:p>
          <w:p w:rsidR="005B01EC" w:rsidRPr="00983126" w:rsidRDefault="004B0A2B" w:rsidP="005B01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4B0A2B" w:rsidRPr="00983126" w:rsidRDefault="004B0A2B" w:rsidP="005B01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901" w:type="dxa"/>
            <w:gridSpan w:val="4"/>
            <w:vAlign w:val="center"/>
          </w:tcPr>
          <w:p w:rsidR="005B01EC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дней</w:t>
            </w:r>
          </w:p>
          <w:p w:rsidR="005B01EC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дней</w:t>
            </w:r>
          </w:p>
        </w:tc>
      </w:tr>
      <w:tr w:rsidR="00DE3E67" w:rsidRPr="00983126" w:rsidTr="005B01EC">
        <w:tc>
          <w:tcPr>
            <w:tcW w:w="4077" w:type="dxa"/>
            <w:gridSpan w:val="3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Кандидоз слизистой оболочки полости рта</w:t>
            </w:r>
          </w:p>
        </w:tc>
        <w:tc>
          <w:tcPr>
            <w:tcW w:w="2593" w:type="dxa"/>
            <w:gridSpan w:val="6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901" w:type="dxa"/>
            <w:gridSpan w:val="4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</w:t>
            </w:r>
          </w:p>
        </w:tc>
      </w:tr>
      <w:tr w:rsidR="004B0A2B" w:rsidRPr="00983126" w:rsidTr="00CD036F">
        <w:tc>
          <w:tcPr>
            <w:tcW w:w="0" w:type="auto"/>
            <w:gridSpan w:val="13"/>
            <w:vAlign w:val="center"/>
          </w:tcPr>
          <w:p w:rsidR="004B0A2B" w:rsidRPr="00983126" w:rsidRDefault="004B0A2B" w:rsidP="00AC1B2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Биодоступность итраконазола при пероральном приеме может быть </w:t>
            </w:r>
            <w:proofErr w:type="gramStart"/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снижена</w:t>
            </w:r>
            <w:proofErr w:type="gramEnd"/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некоторых</w:t>
            </w:r>
            <w:r w:rsidR="008D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пациентов с нарушенным иммунитетом, например, у </w:t>
            </w:r>
            <w:r w:rsidR="00CD036F" w:rsidRP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пациентов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нейтропенией,</w:t>
            </w:r>
            <w:r w:rsidR="008D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пациентов со</w:t>
            </w:r>
            <w:r w:rsidR="008D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СПИДом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 пересаженными органами. Следовательно, может потребоваться двукратное увеличение дозы</w:t>
            </w:r>
            <w:r w:rsidR="005B01EC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3E67" w:rsidRPr="00983126" w:rsidTr="005B01EC">
        <w:tc>
          <w:tcPr>
            <w:tcW w:w="4142" w:type="dxa"/>
            <w:gridSpan w:val="4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Грибковый кератит</w:t>
            </w:r>
          </w:p>
        </w:tc>
        <w:tc>
          <w:tcPr>
            <w:tcW w:w="2528" w:type="dxa"/>
            <w:gridSpan w:val="5"/>
            <w:vAlign w:val="center"/>
          </w:tcPr>
          <w:p w:rsidR="004B0A2B" w:rsidRPr="00983126" w:rsidRDefault="004B0A2B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901" w:type="dxa"/>
            <w:gridSpan w:val="4"/>
            <w:vAlign w:val="center"/>
          </w:tcPr>
          <w:p w:rsidR="006F680D" w:rsidRPr="00983126" w:rsidRDefault="006F680D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день</w:t>
            </w:r>
          </w:p>
          <w:p w:rsidR="004B0A2B" w:rsidRPr="00983126" w:rsidRDefault="008D38AB" w:rsidP="005B01E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</w:t>
            </w:r>
            <w:r w:rsidR="004B0A2B" w:rsidRPr="0098312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лительность лечения может быть скорректирована в зависимости от улучшения клинической картины</w:t>
            </w:r>
          </w:p>
        </w:tc>
      </w:tr>
      <w:tr w:rsidR="005A2832" w:rsidRPr="00983126" w:rsidTr="00715D02">
        <w:tc>
          <w:tcPr>
            <w:tcW w:w="0" w:type="auto"/>
            <w:gridSpan w:val="13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Онихомикозы, </w:t>
            </w:r>
            <w:proofErr w:type="gramStart"/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вызванные</w:t>
            </w:r>
            <w:proofErr w:type="gramEnd"/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дерматофитами и/или дрожжеподобными и плесневыми грибами</w:t>
            </w:r>
          </w:p>
        </w:tc>
      </w:tr>
      <w:tr w:rsidR="00715D02" w:rsidRPr="00983126" w:rsidTr="005B01EC">
        <w:tc>
          <w:tcPr>
            <w:tcW w:w="2709" w:type="dxa"/>
            <w:vMerge w:val="restart"/>
            <w:vAlign w:val="center"/>
          </w:tcPr>
          <w:p w:rsidR="00715D0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Онихомикозы</w:t>
            </w:r>
          </w:p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пульс-терапия</w:t>
            </w:r>
          </w:p>
        </w:tc>
        <w:tc>
          <w:tcPr>
            <w:tcW w:w="6862" w:type="dxa"/>
            <w:gridSpan w:val="12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Дозы и продолжительность лечения</w:t>
            </w:r>
          </w:p>
        </w:tc>
      </w:tr>
      <w:tr w:rsidR="00715D02" w:rsidRPr="00983126" w:rsidTr="005B01EC">
        <w:tc>
          <w:tcPr>
            <w:tcW w:w="2709" w:type="dxa"/>
            <w:vMerge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62" w:type="dxa"/>
            <w:gridSpan w:val="12"/>
            <w:vAlign w:val="center"/>
          </w:tcPr>
          <w:p w:rsidR="005A2832" w:rsidRPr="00983126" w:rsidRDefault="005A2832" w:rsidP="003A15E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курс </w:t>
            </w:r>
            <w:proofErr w:type="gramStart"/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пульс-терапии</w:t>
            </w:r>
            <w:proofErr w:type="gramEnd"/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заключается в ежедневном приеме по 2 капсулы препарата Итразол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®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раза в сутки (по 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раза в сутки) в течение одной недели. Для лечения грибковых поражений ногтевых пластинок кистей рекомендуется </w:t>
            </w:r>
            <w:r w:rsidRPr="0098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курса. Для лечения грибковых поражений ногтевых пластинок стоп рекомендуется три курса. Промежуток между курсами, в течение которого не нужно принимать препарат, составляет 3 недели. Клинические результаты станут очевидны после окончания лечения, по мере отрастания ногтей</w:t>
            </w:r>
            <w:r w:rsidR="005B01EC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3E67" w:rsidRPr="00983126" w:rsidTr="005B01EC">
        <w:tc>
          <w:tcPr>
            <w:tcW w:w="2709" w:type="dxa"/>
            <w:vAlign w:val="center"/>
          </w:tcPr>
          <w:p w:rsidR="00715D02" w:rsidRPr="00983126" w:rsidRDefault="00715D02" w:rsidP="005B01E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Локализация</w:t>
            </w:r>
          </w:p>
          <w:p w:rsidR="005A2832" w:rsidRPr="00983126" w:rsidRDefault="005A2832" w:rsidP="005B01EC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онихомикозов</w:t>
            </w:r>
          </w:p>
        </w:tc>
        <w:tc>
          <w:tcPr>
            <w:tcW w:w="951" w:type="dxa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" w:type="dxa"/>
            <w:gridSpan w:val="3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dxa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dxa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8" w:type="dxa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2" w:type="dxa"/>
            <w:gridSpan w:val="2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9-я нед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3E67" w:rsidRPr="00983126" w:rsidTr="005B01EC">
        <w:tc>
          <w:tcPr>
            <w:tcW w:w="2709" w:type="dxa"/>
            <w:vAlign w:val="center"/>
          </w:tcPr>
          <w:p w:rsidR="005A2832" w:rsidRPr="00983126" w:rsidRDefault="005A2832" w:rsidP="00270A3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ногтевых пластинок пальцев стоп с поражением или без поражения ногтевых пластинок пальцев кистей</w:t>
            </w:r>
          </w:p>
        </w:tc>
        <w:tc>
          <w:tcPr>
            <w:tcW w:w="951" w:type="dxa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курс</w:t>
            </w:r>
          </w:p>
        </w:tc>
        <w:tc>
          <w:tcPr>
            <w:tcW w:w="2076" w:type="dxa"/>
            <w:gridSpan w:val="5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Недели, свободные от приема препарата</w:t>
            </w:r>
            <w:r w:rsidR="008D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38AB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Итразол</w:t>
            </w:r>
            <w:r w:rsidR="008D38AB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®</w:t>
            </w:r>
          </w:p>
        </w:tc>
        <w:tc>
          <w:tcPr>
            <w:tcW w:w="818" w:type="dxa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курс</w:t>
            </w:r>
          </w:p>
        </w:tc>
        <w:tc>
          <w:tcPr>
            <w:tcW w:w="2198" w:type="dxa"/>
            <w:gridSpan w:val="4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Недели, </w:t>
            </w:r>
            <w:r w:rsidR="00053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от приема препарата</w:t>
            </w:r>
            <w:r w:rsidR="008D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38AB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Итразол</w:t>
            </w:r>
            <w:r w:rsidR="008D38AB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®</w:t>
            </w:r>
          </w:p>
        </w:tc>
        <w:tc>
          <w:tcPr>
            <w:tcW w:w="0" w:type="auto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курс</w:t>
            </w:r>
          </w:p>
        </w:tc>
      </w:tr>
      <w:tr w:rsidR="00715D02" w:rsidRPr="00983126" w:rsidTr="005B01EC">
        <w:tc>
          <w:tcPr>
            <w:tcW w:w="2709" w:type="dxa"/>
            <w:vAlign w:val="center"/>
          </w:tcPr>
          <w:p w:rsidR="005A2832" w:rsidRPr="00983126" w:rsidRDefault="005A2832" w:rsidP="00270A3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ногтевых пластинок кистей</w:t>
            </w:r>
          </w:p>
        </w:tc>
        <w:tc>
          <w:tcPr>
            <w:tcW w:w="951" w:type="dxa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курс</w:t>
            </w:r>
          </w:p>
        </w:tc>
        <w:tc>
          <w:tcPr>
            <w:tcW w:w="2076" w:type="dxa"/>
            <w:gridSpan w:val="5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Недели, свободные от приема препарата</w:t>
            </w:r>
            <w:r w:rsidR="008D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38AB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Итразол</w:t>
            </w:r>
            <w:r w:rsidR="008D38AB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®</w:t>
            </w:r>
          </w:p>
        </w:tc>
        <w:tc>
          <w:tcPr>
            <w:tcW w:w="818" w:type="dxa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курс</w:t>
            </w:r>
          </w:p>
        </w:tc>
        <w:tc>
          <w:tcPr>
            <w:tcW w:w="3017" w:type="dxa"/>
            <w:gridSpan w:val="5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E67" w:rsidRPr="00983126" w:rsidTr="005B01EC">
        <w:tc>
          <w:tcPr>
            <w:tcW w:w="2709" w:type="dxa"/>
            <w:vAlign w:val="center"/>
          </w:tcPr>
          <w:p w:rsidR="00715D02" w:rsidRPr="00983126" w:rsidRDefault="005A2832" w:rsidP="00270A3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Онихомикозы</w:t>
            </w:r>
          </w:p>
          <w:p w:rsidR="005A2832" w:rsidRPr="00983126" w:rsidRDefault="005A2832" w:rsidP="00270A3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непрерывное лечение</w:t>
            </w:r>
          </w:p>
        </w:tc>
        <w:tc>
          <w:tcPr>
            <w:tcW w:w="3845" w:type="dxa"/>
            <w:gridSpan w:val="7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Доза</w:t>
            </w:r>
          </w:p>
        </w:tc>
        <w:tc>
          <w:tcPr>
            <w:tcW w:w="3017" w:type="dxa"/>
            <w:gridSpan w:val="5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 лечения</w:t>
            </w:r>
          </w:p>
        </w:tc>
      </w:tr>
      <w:tr w:rsidR="00DE3E67" w:rsidRPr="00983126" w:rsidTr="005B01EC">
        <w:tc>
          <w:tcPr>
            <w:tcW w:w="2709" w:type="dxa"/>
            <w:vAlign w:val="center"/>
          </w:tcPr>
          <w:p w:rsidR="005A2832" w:rsidRPr="00983126" w:rsidRDefault="005A2832" w:rsidP="00270A3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Поражение ногтевых пластинок стоп с поражением или без поражения ногтевых пластинок кистей</w:t>
            </w:r>
          </w:p>
        </w:tc>
        <w:tc>
          <w:tcPr>
            <w:tcW w:w="3845" w:type="dxa"/>
            <w:gridSpan w:val="7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сутки</w:t>
            </w:r>
          </w:p>
        </w:tc>
        <w:tc>
          <w:tcPr>
            <w:tcW w:w="3017" w:type="dxa"/>
            <w:gridSpan w:val="5"/>
            <w:vAlign w:val="center"/>
          </w:tcPr>
          <w:p w:rsidR="005A2832" w:rsidRPr="00983126" w:rsidRDefault="005A2832" w:rsidP="00270A3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</w:tr>
    </w:tbl>
    <w:p w:rsidR="005E1BE2" w:rsidRPr="00983126" w:rsidRDefault="005E1BE2" w:rsidP="006C4456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Выведение </w:t>
      </w:r>
      <w:r w:rsidR="00854B40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кожи и ногтевой ткани осуществляется медленнее, чем из плазмы</w:t>
      </w:r>
      <w:r w:rsidR="00854B40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оптимальные клинические и микологические эффекты достигаются через 2-4 недели после окончания лечения при инфекциях кожи и через </w:t>
      </w:r>
      <w:r w:rsidR="0005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6-9 месяцев после окончания лечения ногтевых инфекций.</w:t>
      </w:r>
    </w:p>
    <w:p w:rsidR="00B53927" w:rsidRPr="00983126" w:rsidRDefault="00B53927" w:rsidP="006C4456">
      <w:pPr>
        <w:widowControl w:val="0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12"/>
        <w:gridCol w:w="1843"/>
        <w:gridCol w:w="2409"/>
        <w:gridCol w:w="2611"/>
      </w:tblGrid>
      <w:tr w:rsidR="005E1BE2" w:rsidRPr="00983126" w:rsidTr="00633566">
        <w:tc>
          <w:tcPr>
            <w:tcW w:w="94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Системные микозы</w:t>
            </w: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Доза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Средняя продолжительность лечения*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6C4456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Аспергиллез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1EC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2-5 месяцев 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854B40" w:rsidP="005B01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дозу до 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="005B01EC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BE2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сутки в случае инвазивного или диссеминированного заболевания</w:t>
            </w: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Кандидоз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1EC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854B40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недель до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E1BE2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месяцев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5B01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дозу</w:t>
            </w:r>
            <w:r w:rsidR="00633566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="005B01EC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сутки в случае инвазивного или диссеминированного заболевания</w:t>
            </w: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Криптококкоз</w:t>
            </w:r>
          </w:p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(кроме менингита)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1EC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2-х месяцев до</w:t>
            </w:r>
            <w:r w:rsidR="00854B40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Криптококковый менингит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5B01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01EC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2-х месяцев до</w:t>
            </w:r>
            <w:r w:rsidR="00854B40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633566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Поддерживающая терапия, </w:t>
            </w:r>
            <w:r w:rsidR="005E1BE2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раздел «Особые указания»</w:t>
            </w: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Гистоплазмоз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33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854B40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="00854B40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 до 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="00854B40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Бластомикоз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3335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</w:t>
            </w:r>
            <w:r w:rsidR="00A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4B40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 до 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="00854B40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3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  <w:r w:rsidR="003335E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раза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Споротрихоз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Паракокцидиоидомикоз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месяцев 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3869EB" w:rsidP="00AC1B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Данные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5E1BE2" w:rsidRPr="00983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="00754A01" w:rsidRPr="00983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</w:t>
            </w:r>
            <w:r w:rsidR="005E1BE2" w:rsidRPr="00983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эффективности данной дозы для лечения паракокцидиоидомикоза у </w:t>
            </w:r>
            <w:r w:rsidR="00AC1B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пациентов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СПИДом</w:t>
            </w:r>
            <w:r w:rsidR="005E1BE2" w:rsidRPr="00983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отсутству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ю</w:t>
            </w:r>
            <w:r w:rsidR="005E1BE2" w:rsidRPr="0098312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т.</w:t>
            </w:r>
          </w:p>
        </w:tc>
      </w:tr>
      <w:tr w:rsidR="005E1BE2" w:rsidRPr="00983126" w:rsidTr="00523890"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Хромомикоз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100-200</w:t>
            </w:r>
            <w:r w:rsidR="000F5C29"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мг</w:t>
            </w: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сутки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BE2" w:rsidRPr="00983126" w:rsidRDefault="005E1BE2" w:rsidP="00270A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BE2" w:rsidRPr="00983126" w:rsidRDefault="005E1BE2" w:rsidP="006C445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продолжительность лечения может быть скорректирована в зависимости от эффективности лечения</w:t>
      </w:r>
    </w:p>
    <w:p w:rsidR="005E1BE2" w:rsidRPr="00983126" w:rsidRDefault="00F87A69" w:rsidP="00270A3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Применение у о</w:t>
      </w:r>
      <w:r w:rsidR="005E1BE2" w:rsidRPr="00983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собы</w:t>
      </w:r>
      <w:r w:rsidRPr="00983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="005E1BE2" w:rsidRPr="009831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групп пациентов</w:t>
      </w:r>
    </w:p>
    <w:p w:rsidR="005E1BE2" w:rsidRPr="00983126" w:rsidRDefault="00F87A69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Пациенты д</w:t>
      </w:r>
      <w:r w:rsidR="005E1BE2"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</w:t>
      </w: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ского возраста</w:t>
      </w:r>
    </w:p>
    <w:p w:rsidR="005E1BE2" w:rsidRPr="00983126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</w:t>
      </w:r>
      <w:r w:rsidR="002B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3356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применении итраконазола </w:t>
      </w:r>
      <w:r w:rsidR="00D9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капсулах </w:t>
      </w:r>
      <w:r w:rsidR="0038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лечения</w:t>
      </w:r>
      <w:r w:rsidR="003869EB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38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ограничены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</w:t>
      </w:r>
      <w:r w:rsidR="006A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итраконазола в </w:t>
      </w:r>
      <w:r w:rsidR="00B7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капсул</w:t>
      </w:r>
      <w:r w:rsidR="006A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B7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лечения детей не рекомендуется, за исключением случаев, когда ожидаемая польза от лечения превышает потенциальный риск.</w:t>
      </w:r>
    </w:p>
    <w:p w:rsidR="005E1BE2" w:rsidRPr="00983126" w:rsidRDefault="00F87A69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Пациенты пожилого</w:t>
      </w:r>
      <w:r w:rsidR="00B000AB"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возраста</w:t>
      </w:r>
    </w:p>
    <w:p w:rsidR="005E1BE2" w:rsidRPr="00983126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применении </w:t>
      </w:r>
      <w:r w:rsidR="00F87A6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лечения пациентов пожилого возраста ограничены. Рекомендуется </w:t>
      </w:r>
      <w:r w:rsidR="007A6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 для лечения </w:t>
      </w:r>
      <w:r w:rsidR="0038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пациентов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категории, только если ожидаемая польза от лечения превышает потенциальны</w:t>
      </w:r>
      <w:r w:rsidR="00F87A6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риск. При выборе дозы препарата для лечения пожилых пациентов рекомендуется учитывать снижение функции печени, почек и сердца, чаще встречающ</w:t>
      </w:r>
      <w:r w:rsidR="0093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пожилом возрасте, а также наличие сопутствующих заболеваний или прием </w:t>
      </w:r>
      <w:r w:rsidR="0038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="003869EB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средств.</w:t>
      </w:r>
    </w:p>
    <w:p w:rsidR="005E1BE2" w:rsidRPr="00983126" w:rsidRDefault="00F87A69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Пациенты с н</w:t>
      </w:r>
      <w:r w:rsidR="005E1BE2"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арушени</w:t>
      </w: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</w:t>
      </w:r>
      <w:r w:rsidR="005E1BE2"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функции печени</w:t>
      </w:r>
    </w:p>
    <w:p w:rsidR="005E1BE2" w:rsidRPr="00983126" w:rsidRDefault="00854B4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применении </w:t>
      </w:r>
      <w:r w:rsidR="000C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перорального</w:t>
      </w:r>
      <w:r w:rsidR="000C398C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 для лечения пациентов с нарушениями функции печени ограничены. Следует с осторожностью назначать препарат данной категории пациентов.</w:t>
      </w:r>
    </w:p>
    <w:p w:rsidR="005E1BE2" w:rsidRPr="00983126" w:rsidRDefault="00F87A69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Пациенты с н</w:t>
      </w:r>
      <w:r w:rsidR="005E1BE2"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арушени</w:t>
      </w: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</w:t>
      </w:r>
      <w:r w:rsidR="005E1BE2"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функции почек</w:t>
      </w:r>
    </w:p>
    <w:p w:rsidR="005E1BE2" w:rsidRPr="00983126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применении </w:t>
      </w:r>
      <w:r w:rsidR="00386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перорального </w:t>
      </w:r>
      <w:r w:rsidR="00F87A6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траконазола для лечения пациентов с нарушениями функции почек ограничены. У некоторых пациентов, страдающих почечной недостаточностью, экспозиция итраконазола может быть снижена. Следует с осторожностью назначать препарат данной категории пациентов</w:t>
      </w:r>
      <w:r w:rsidR="00067FB0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FB0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некоторых случаях может потребоваться изменение дозы лекарственного препарата.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Побочное действие</w:t>
      </w:r>
    </w:p>
    <w:p w:rsidR="000267E1" w:rsidRPr="00983126" w:rsidRDefault="000267E1" w:rsidP="00906D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частоты развития побочных эффектов согласно рекомендациям Всемирной организации здравоохранения (ВОЗ):</w:t>
      </w:r>
    </w:p>
    <w:p w:rsidR="000267E1" w:rsidRPr="00983126" w:rsidRDefault="000267E1" w:rsidP="00270A35">
      <w:pPr>
        <w:widowControl w:val="0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A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≥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1/10;</w:t>
      </w:r>
    </w:p>
    <w:p w:rsidR="000267E1" w:rsidRPr="00983126" w:rsidRDefault="000267E1" w:rsidP="00270A35">
      <w:pPr>
        <w:widowControl w:val="0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 </w:t>
      </w:r>
      <w:r w:rsidR="008A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≥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1/100 до &lt; 1/10;</w:t>
      </w:r>
    </w:p>
    <w:p w:rsidR="000267E1" w:rsidRPr="00983126" w:rsidRDefault="000267E1" w:rsidP="00270A35">
      <w:pPr>
        <w:widowControl w:val="0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нечасто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 </w:t>
      </w:r>
      <w:r w:rsidR="008A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≥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1/1000 до &lt; 1/100;</w:t>
      </w:r>
    </w:p>
    <w:p w:rsidR="000267E1" w:rsidRPr="00983126" w:rsidRDefault="000267E1" w:rsidP="00270A35">
      <w:pPr>
        <w:widowControl w:val="0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редко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 </w:t>
      </w:r>
      <w:r w:rsidR="008A4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≥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1/10000 до &lt; 1/1000;</w:t>
      </w:r>
    </w:p>
    <w:p w:rsidR="000267E1" w:rsidRPr="00983126" w:rsidRDefault="000267E1" w:rsidP="00270A35">
      <w:pPr>
        <w:widowControl w:val="0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редко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&lt; 1/10000, включая отдельные сообщения;</w:t>
      </w:r>
    </w:p>
    <w:p w:rsidR="000267E1" w:rsidRPr="00983126" w:rsidRDefault="000267E1" w:rsidP="00E63E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неизвестна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 по имеющимся данным установить частоту возникновения не</w:t>
      </w:r>
      <w:r w:rsidR="0005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возможным.</w:t>
      </w: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2077E9" w:rsidRPr="00983126" w:rsidRDefault="002077E9" w:rsidP="00207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Данные, полученные в ходе клинических исследований</w:t>
      </w:r>
    </w:p>
    <w:p w:rsidR="00A83F04" w:rsidRPr="00983126" w:rsidRDefault="00A83F04" w:rsidP="00E63E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Безопасность итраконазола в лекарственной форме капсулы изучалась в 107 открытых и двойных слепых клинических исследованиях </w:t>
      </w:r>
      <w:r w:rsidR="005F553C" w:rsidRPr="009831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участием 8499 пациентов. </w:t>
      </w:r>
      <w:r w:rsidR="002077E9" w:rsidRPr="009831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="005F553C" w:rsidRPr="009831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8499 пациентов хотя бы один раз приняли итраконазол в лекарственной форме капсулы, после чего была проведена оценка безопасности лечения.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Инфекци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и инвазии</w:t>
      </w: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 – ринит, синусит, инфекции верхних дыхательных путей.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со стороны 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крови</w:t>
      </w: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лимфатической систем: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– лейкопения;</w:t>
      </w:r>
    </w:p>
    <w:p w:rsidR="00B52DBB" w:rsidRPr="00983126" w:rsidRDefault="006C4421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</w:t>
      </w:r>
      <w:r w:rsidR="00B52DBB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неизвестна – нейтропения.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иммунной системы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 – гиперчувствительность.</w:t>
      </w:r>
    </w:p>
    <w:p w:rsidR="00B52DBB" w:rsidRPr="00983126" w:rsidRDefault="006C4421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</w:t>
      </w:r>
      <w:r w:rsidR="00B52DBB"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стороны нервной системы</w:t>
      </w:r>
      <w:r w:rsidR="00B52DBB"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– головная боль;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– гип</w:t>
      </w:r>
      <w:r w:rsidR="00C755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стезия, парестезия.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со стороны органа слуха и лабиринтные </w:t>
      </w:r>
      <w:r w:rsidR="006C4421"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– звон в ушах.</w:t>
      </w:r>
    </w:p>
    <w:p w:rsidR="00B52DBB" w:rsidRPr="00983126" w:rsidRDefault="00B52DBB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желудочно-кишечного тракта</w:t>
      </w:r>
      <w:r w:rsidR="006C4421"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6C4421" w:rsidRPr="00983126" w:rsidRDefault="006C4421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– боль в животе, тошнота;</w:t>
      </w:r>
    </w:p>
    <w:p w:rsidR="006C4421" w:rsidRPr="00983126" w:rsidRDefault="006C4421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 – диспепсия, запор, метеоризм, диарея, рвота;</w:t>
      </w:r>
    </w:p>
    <w:p w:rsidR="006C4421" w:rsidRPr="00983126" w:rsidRDefault="006C4421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– дисгевзия.</w:t>
      </w:r>
    </w:p>
    <w:p w:rsidR="006C4421" w:rsidRPr="00983126" w:rsidRDefault="0080462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печени и желчевыводящих путей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04628" w:rsidRPr="00983126" w:rsidRDefault="0080462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 – гипербилирубинемия, нарушение функции печени.</w:t>
      </w:r>
    </w:p>
    <w:p w:rsidR="00804628" w:rsidRPr="00983126" w:rsidRDefault="0080462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со стороны 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кожи и подкожных тканей</w:t>
      </w: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04628" w:rsidRPr="00983126" w:rsidRDefault="0080462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 – сыпь, зуд, крапивница.</w:t>
      </w:r>
    </w:p>
    <w:p w:rsidR="00804628" w:rsidRPr="00983126" w:rsidRDefault="0080462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почек и мочевыводящих путей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04628" w:rsidRPr="00983126" w:rsidRDefault="0080462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– поллакиурия.</w:t>
      </w:r>
    </w:p>
    <w:p w:rsidR="00804628" w:rsidRPr="00983126" w:rsidRDefault="0080462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со стороны репродуктивной </w:t>
      </w:r>
      <w:r w:rsidR="00F54E52"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системы и молочных желез</w:t>
      </w:r>
      <w:r w:rsidR="00F54E52"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54E52" w:rsidRPr="00983126" w:rsidRDefault="00F54E5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нечасто – нарушение менструального цикла;</w:t>
      </w:r>
    </w:p>
    <w:p w:rsidR="00F54E52" w:rsidRPr="00983126" w:rsidRDefault="00F54E5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– эректильная дисфункция.</w:t>
      </w:r>
    </w:p>
    <w:p w:rsidR="00F54E52" w:rsidRPr="00983126" w:rsidRDefault="0031607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нарушения</w:t>
      </w:r>
      <w:r w:rsidR="00F54E52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реакции в месте введения:</w:t>
      </w:r>
    </w:p>
    <w:p w:rsidR="00F54E52" w:rsidRPr="00983126" w:rsidRDefault="00F54E5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– отечный синдром.</w:t>
      </w:r>
    </w:p>
    <w:p w:rsidR="00F54E52" w:rsidRPr="00983126" w:rsidRDefault="00F54E5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 список нежелательных реакций, связанных с приемом итраконазола в</w:t>
      </w:r>
      <w:r w:rsidR="00C85DC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раствора для приема внутрь и/или в форме раствора для внутривенного введения, зарегистрированных в клинических исследованиях (за исключением побочных реакций, относящихся к категории «воспаления в месте инъекции», поскольку данные побочные </w:t>
      </w:r>
      <w:r w:rsidR="00273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27368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специфичными для лекарственной формы «раствор для внутривенного введения»). </w:t>
      </w:r>
      <w:proofErr w:type="gramEnd"/>
    </w:p>
    <w:p w:rsidR="00B52DBB" w:rsidRPr="00983126" w:rsidRDefault="00F54E5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со стороны 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крови</w:t>
      </w: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лимфатической систем:</w:t>
      </w:r>
      <w:r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гранулоцитопения,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тромбоцитопения.</w:t>
      </w:r>
    </w:p>
    <w:p w:rsidR="00F54E52" w:rsidRPr="00983126" w:rsidRDefault="00F54E5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иммунной системы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анафилактоидные реакции.</w:t>
      </w:r>
    </w:p>
    <w:p w:rsidR="004857B7" w:rsidRPr="00983126" w:rsidRDefault="004857B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обмена веществ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питания</w:t>
      </w: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гипергликемия, гиперкалиемия,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гипокалиемия, гипомагниемия</w:t>
      </w:r>
      <w:r w:rsidR="002077E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7B7" w:rsidRPr="00983126" w:rsidRDefault="004857B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</w:t>
      </w:r>
      <w:r w:rsidR="00743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психики</w:t>
      </w:r>
      <w:r w:rsidRPr="007436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спутанность сознания.</w:t>
      </w:r>
    </w:p>
    <w:p w:rsidR="004857B7" w:rsidRPr="00983126" w:rsidRDefault="00A535D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A53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арушения со стороны нервной системы</w:t>
      </w:r>
      <w:r w:rsidR="004857B7"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4857B7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периферическая нейропатия, головокружение, сонливость.</w:t>
      </w:r>
    </w:p>
    <w:p w:rsidR="00316074" w:rsidRDefault="004857B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со стороны </w:t>
      </w:r>
      <w:r w:rsidR="00946A71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сердца</w:t>
      </w: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сердечная недостаточность, недостаточнос</w:t>
      </w:r>
      <w:r w:rsidR="00316074"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левого</w:t>
      </w:r>
      <w:r w:rsidR="00316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желудочка, тахикардия.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7B7" w:rsidRPr="00983126" w:rsidRDefault="0031607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сосудов:</w:t>
      </w:r>
      <w:r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B7"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гипертензия, артериальная гипотензия.</w:t>
      </w:r>
    </w:p>
    <w:p w:rsidR="004857B7" w:rsidRPr="00983126" w:rsidRDefault="004857B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дыхательной системы, органов грудной клетки и средостения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7E6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 легких,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дисфония</w:t>
      </w:r>
      <w:r w:rsidR="00F5452D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кашель.</w:t>
      </w:r>
    </w:p>
    <w:p w:rsidR="004857B7" w:rsidRPr="00983126" w:rsidRDefault="004857B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желудочно-кишечного тракта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желудочно-кишечные расстройства.</w:t>
      </w:r>
    </w:p>
    <w:p w:rsidR="005D798C" w:rsidRDefault="003157E6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печени и желчевыводящих путей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гепатит, желтуха, </w:t>
      </w:r>
      <w:r w:rsidR="00A53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печеночная недостаточность.</w:t>
      </w:r>
    </w:p>
    <w:p w:rsidR="002E33DD" w:rsidRPr="00983126" w:rsidRDefault="002E33DD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кож</w:t>
      </w:r>
      <w:r w:rsidR="00F5452D"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подкожных тканей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эритематозная сыпь, гипергидроз.</w:t>
      </w:r>
    </w:p>
    <w:p w:rsidR="002E33DD" w:rsidRPr="00983126" w:rsidRDefault="002E33DD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со стороны 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мышечной, скелетной и соединительной ткани</w:t>
      </w: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миалгия,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артралгия.</w:t>
      </w:r>
    </w:p>
    <w:p w:rsidR="002E33DD" w:rsidRPr="00983126" w:rsidRDefault="002E33DD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почек и мочевыводящих путей</w:t>
      </w:r>
      <w:r w:rsidRPr="00400B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52D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почек, недержание мочи.</w:t>
      </w:r>
    </w:p>
    <w:p w:rsidR="00574143" w:rsidRPr="00983126" w:rsidRDefault="00574143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Общие 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и реакции в месте введения</w:t>
      </w: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генерализованные отеки, отек лица, боль в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груди, гипертермия, боль, усталость, озноб.</w:t>
      </w:r>
    </w:p>
    <w:p w:rsidR="00574143" w:rsidRPr="00983126" w:rsidRDefault="0031607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инструментальные данные</w:t>
      </w:r>
      <w:r w:rsidR="00574143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74143" w:rsidRPr="004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активности</w:t>
      </w:r>
      <w:r w:rsidR="0057414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аланинаминотрансферазы, повышение активности аспартатаминотрансферазы</w:t>
      </w:r>
      <w:r w:rsidR="000D56CC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активности щелочной фосфатазы в плазме крови, повышение активности лактатдегидрогеназы в плазме крови, повышение концентрации мочевины крови, повышение активности гамма-глутамилтрансферазы, повышение активности печеночных ферментов, отклонение от нормы показателей общего анализа мочи.</w:t>
      </w:r>
    </w:p>
    <w:p w:rsidR="005D798C" w:rsidRPr="00D7487F" w:rsidRDefault="0088321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4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Пациенты детского возраста</w:t>
      </w:r>
    </w:p>
    <w:p w:rsidR="000D56CC" w:rsidRPr="00983126" w:rsidRDefault="000D56CC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итраконазола в лекарственной форме капсулы оценивалась в</w:t>
      </w:r>
      <w:r w:rsidR="00413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077E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 исследованиях (4</w:t>
      </w:r>
      <w:r w:rsidR="00413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 слепых плацебо-контролируемых исследования, 9</w:t>
      </w:r>
      <w:r w:rsidR="00413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исследований и 1</w:t>
      </w:r>
      <w:r w:rsidR="00413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вшее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открытую фазу с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 двойной слепой) с участием 165 детей в возрасте от 1 года до 17 лет.</w:t>
      </w:r>
    </w:p>
    <w:p w:rsidR="000D56CC" w:rsidRPr="00983126" w:rsidRDefault="000D56CC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исследований было отмечено, что наиболее часто встречающимися побочными реакциями были: головная боль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(3,0</w:t>
      </w:r>
      <w:r w:rsidR="0040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рвота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(3,0</w:t>
      </w:r>
      <w:r w:rsidR="0040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боль в животе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(2,4</w:t>
      </w:r>
      <w:r w:rsidR="0040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диарея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(2,4</w:t>
      </w:r>
      <w:r w:rsidR="0040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функции печени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(1,2</w:t>
      </w:r>
      <w:r w:rsidR="0040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тошнота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(1,2</w:t>
      </w:r>
      <w:r w:rsidR="0040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крапивница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(1,2</w:t>
      </w:r>
      <w:r w:rsidR="0040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%), гипотензия (1,2</w:t>
      </w:r>
      <w:r w:rsidR="00400B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2352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побочных реакций, </w:t>
      </w:r>
      <w:r w:rsidR="00407488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встречающихся у детей, схож с тем, что наблюдается у</w:t>
      </w:r>
      <w:r w:rsidR="000533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7488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 </w:t>
      </w:r>
      <w:r w:rsidR="00F5452D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 w:rsidR="00407488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5452D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488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частота побочных реакций у детей выше.</w:t>
      </w:r>
    </w:p>
    <w:p w:rsidR="00407488" w:rsidRPr="00983126" w:rsidRDefault="00407488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Побочные действия, зарегистрированные в пострегистрационном периоде</w:t>
      </w: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получены на основании спонтанных сообщений)</w:t>
      </w:r>
      <w:r w:rsidR="00D74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488" w:rsidRPr="00983126" w:rsidRDefault="0040748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частота побочных реакций основана на клиническом опыте применения </w:t>
      </w:r>
      <w:r w:rsidR="002077E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препаратов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итраконазола после регистрации.</w:t>
      </w:r>
    </w:p>
    <w:p w:rsidR="00407488" w:rsidRPr="00983126" w:rsidRDefault="002077E9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</w:t>
      </w:r>
      <w:r w:rsidR="00407488"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стороны иммунной системы</w:t>
      </w:r>
      <w:r w:rsidR="00407488" w:rsidRPr="00805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857B7" w:rsidRPr="00983126" w:rsidRDefault="00407488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– сывороточная болезнь, ангионевротический отек, анафилактические, анафилактоидные и аллергические реакции.</w:t>
      </w:r>
    </w:p>
    <w:p w:rsidR="00407488" w:rsidRPr="00983126" w:rsidRDefault="005D5F73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 стороны обмена веществ и питания</w:t>
      </w:r>
      <w:r w:rsidR="00407488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7488" w:rsidRPr="00983126" w:rsidRDefault="00407488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– гипертриглицеридемия.</w:t>
      </w:r>
    </w:p>
    <w:p w:rsidR="00407488" w:rsidRPr="00983126" w:rsidRDefault="00407488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нервной системы</w:t>
      </w:r>
      <w:r w:rsidRPr="00805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07488" w:rsidRPr="00983126" w:rsidRDefault="00063D9E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– тремор.</w:t>
      </w:r>
    </w:p>
    <w:p w:rsidR="00063D9E" w:rsidRPr="00983126" w:rsidRDefault="002077E9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</w:t>
      </w:r>
      <w:r w:rsidR="00063D9E"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стороны органа зрения</w:t>
      </w:r>
      <w:r w:rsidR="00063D9E" w:rsidRPr="00805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063D9E" w:rsidRPr="00983126" w:rsidRDefault="00063D9E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редко – </w:t>
      </w:r>
      <w:r w:rsidR="005D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зрения (включая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нечеткое зрение, диплопи</w:t>
      </w:r>
      <w:r w:rsidR="005D798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D5F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D9E" w:rsidRPr="00983126" w:rsidRDefault="00063D9E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Нарушения со стороны </w:t>
      </w:r>
      <w:r w:rsidR="00BF0483"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органа слуха и лабиринтные нарушения</w:t>
      </w:r>
      <w:r w:rsidR="00BF0483" w:rsidRPr="00805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F0483" w:rsidRPr="00983126" w:rsidRDefault="00BF0483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редко – стойкая </w:t>
      </w:r>
      <w:r w:rsidR="002077E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временная потеря слуха.</w:t>
      </w:r>
    </w:p>
    <w:p w:rsidR="00BF0483" w:rsidRPr="00983126" w:rsidRDefault="002077E9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</w:t>
      </w:r>
      <w:r w:rsidR="00BF0483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стороны </w:t>
      </w:r>
      <w:r w:rsidR="0031607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сердца</w:t>
      </w:r>
      <w:r w:rsidR="00BF0483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F0483" w:rsidRPr="00983126" w:rsidRDefault="00BF0483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– хроническая сердечная недостаточность.</w:t>
      </w:r>
    </w:p>
    <w:p w:rsidR="00BF0483" w:rsidRPr="00983126" w:rsidRDefault="002077E9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дыхательной системы, органов грудной клетки и средостения</w:t>
      </w:r>
      <w:r w:rsidRPr="00805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83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– одышка.</w:t>
      </w:r>
    </w:p>
    <w:p w:rsidR="00BF0483" w:rsidRPr="00983126" w:rsidRDefault="002077E9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</w:t>
      </w:r>
      <w:r w:rsidR="00BF0483"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стороны желудочно-кишечного тракта</w:t>
      </w:r>
      <w:r w:rsidR="00BF0483" w:rsidRPr="00805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F0483" w:rsidRPr="00983126" w:rsidRDefault="00BF0483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– панкреатит.</w:t>
      </w:r>
    </w:p>
    <w:p w:rsidR="002077E9" w:rsidRPr="00983126" w:rsidRDefault="002077E9" w:rsidP="0005339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печени и желчевыводящих путей</w:t>
      </w:r>
      <w:r w:rsidRPr="00805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F0483" w:rsidRPr="00983126" w:rsidRDefault="00BF0483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– тяжелое токсическое поражение печени (в том числе несколько случаев острой печеночной недостаточности с летальным исходом).</w:t>
      </w:r>
    </w:p>
    <w:p w:rsidR="002077E9" w:rsidRPr="00983126" w:rsidRDefault="002077E9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Нарушения со стороны кожи и подкожных тканей</w:t>
      </w:r>
      <w:r w:rsidRPr="00805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F04" w:rsidRPr="00983126" w:rsidRDefault="00A83F0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– токсический эпидермальный некролиз, синдром Стивенса-Джонсона, острый генерализованный экзентематозный пустулез, полиморфная эритема, эксфолиативный дерматит, лейкоцитокластический васкулит, алопеция, светочувствительность.</w:t>
      </w:r>
    </w:p>
    <w:p w:rsidR="00A83F04" w:rsidRPr="00983126" w:rsidRDefault="0031607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и инструментальные данные</w:t>
      </w:r>
      <w:r w:rsidR="00A83F04" w:rsidRPr="004744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83F04" w:rsidRPr="00983126" w:rsidRDefault="00A83F04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– повышение активности креатинфосфокиназы крови.</w:t>
      </w:r>
    </w:p>
    <w:p w:rsidR="00BF0483" w:rsidRPr="00983126" w:rsidRDefault="00BF0483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D467A4">
      <w:pPr>
        <w:keepNext/>
        <w:widowControl w:val="0"/>
        <w:shd w:val="clear" w:color="auto" w:fill="FFFFFF"/>
        <w:tabs>
          <w:tab w:val="left" w:pos="87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Передозировка</w:t>
      </w:r>
    </w:p>
    <w:p w:rsidR="00067FB0" w:rsidRPr="00983126" w:rsidRDefault="00067FB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Симптомы</w:t>
      </w:r>
    </w:p>
    <w:p w:rsidR="005E1BE2" w:rsidRPr="00983126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Симптомы, наблюдаемые при передозировке </w:t>
      </w:r>
      <w:r w:rsidR="00D223C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 w:rsidR="007E248F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33EBF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сопоставимы с</w:t>
      </w:r>
      <w:r w:rsidR="00C85DC7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дозозависимыми побочными реакциями, наблюдаемыми при применении обычных доз препарата.</w:t>
      </w:r>
    </w:p>
    <w:p w:rsidR="00067FB0" w:rsidRPr="00983126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Лечение</w:t>
      </w:r>
    </w:p>
    <w:p w:rsidR="005E1BE2" w:rsidRPr="00983126" w:rsidRDefault="00067FB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пецифического антидота не существует. В случае передозировки </w:t>
      </w:r>
      <w:r w:rsidR="007239CF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проводить поддерживающую терапию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Итраконазол не </w:t>
      </w:r>
      <w:r w:rsidR="005D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выводится </w:t>
      </w:r>
      <w:r w:rsidR="005D5F73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3E5F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организма при гемодиализе.</w:t>
      </w:r>
      <w:r w:rsidR="005D5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обратиться в токсикологический центр с целью корректировки лечения при передозировке итраконазолом.</w:t>
      </w:r>
    </w:p>
    <w:p w:rsidR="00DC6145" w:rsidRPr="00983126" w:rsidRDefault="00DC6145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D467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другими лекарственными средствами</w:t>
      </w:r>
    </w:p>
    <w:p w:rsidR="000B490E" w:rsidRDefault="005E1BE2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Итраконазол 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 xml:space="preserve">– препарат с высоким потенциалом лекарственных взаимодействий. Ниже описаны </w:t>
      </w:r>
      <w:r w:rsidR="005D798C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виды 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>лекарственны</w:t>
      </w:r>
      <w:r w:rsidR="005D798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</w:t>
      </w:r>
      <w:r w:rsidR="005D798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 xml:space="preserve"> и связанные с ними общие рекомендации. Кроме того, представлена таблица </w:t>
      </w:r>
      <w:r w:rsidR="005D798C">
        <w:rPr>
          <w:rFonts w:ascii="Times New Roman" w:hAnsi="Times New Roman" w:cs="Times New Roman"/>
          <w:color w:val="000000"/>
          <w:sz w:val="24"/>
          <w:szCs w:val="24"/>
        </w:rPr>
        <w:t xml:space="preserve">с примерами 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средств, которые могут взаимодействовать с итраконазолом, организова</w:t>
      </w:r>
      <w:r w:rsidR="005D798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5D798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 xml:space="preserve"> по группам препаратов для более простого использования. Список примеров не является всеобъемлющим, поэтому при совмест</w:t>
      </w:r>
      <w:r w:rsidR="005D798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>ом применении каких-либо препаратов с итраконазолом следует изучить инструкци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490E">
        <w:rPr>
          <w:rFonts w:ascii="Times New Roman" w:hAnsi="Times New Roman" w:cs="Times New Roman"/>
          <w:color w:val="000000"/>
          <w:sz w:val="24"/>
          <w:szCs w:val="24"/>
        </w:rPr>
        <w:t xml:space="preserve"> по их применению на предмет информации, связанной с метаболизмом, путями лекарственных взаимодействий, потенциальными рисками и специфическими действиями в отношении совместного применения.</w:t>
      </w:r>
    </w:p>
    <w:p w:rsidR="00C87335" w:rsidRDefault="000B490E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Итраконазол </w:t>
      </w:r>
      <w:r w:rsidR="005E1BE2"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метаболизируется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 первую очередь за счет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 xml:space="preserve"> изофермента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BE2"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CYP3A4. Другие </w:t>
      </w:r>
      <w:r>
        <w:rPr>
          <w:rFonts w:ascii="Times New Roman" w:hAnsi="Times New Roman" w:cs="Times New Roman"/>
          <w:color w:val="000000"/>
          <w:sz w:val="24"/>
          <w:szCs w:val="24"/>
        </w:rPr>
        <w:t>вещества</w:t>
      </w:r>
      <w:r w:rsidR="005E1BE2"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использующие данный метаболический путь или изменяющие активность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 xml:space="preserve"> изофермента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>CYP3A4</w:t>
      </w:r>
      <w:r>
        <w:rPr>
          <w:rFonts w:ascii="Times New Roman" w:hAnsi="Times New Roman" w:cs="Times New Roman"/>
          <w:color w:val="000000"/>
          <w:sz w:val="24"/>
          <w:szCs w:val="24"/>
        </w:rPr>
        <w:t>, могут влиять на фармакокинетику итраконазола. При одновременном применении итраконазола с умеренными и мощными индукторами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 xml:space="preserve"> изофермента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>CYP3A4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снижаться биодоступность итраконазола и гидроксиитраконазола, так что может быть снижена эффективность. Совместное применение с умеренными или мощными ингибиторами 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 xml:space="preserve">изофермента 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>CYP3A4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повысить биодоступность итраконазола</w:t>
      </w:r>
      <w:r w:rsidR="00C87335">
        <w:rPr>
          <w:rFonts w:ascii="Times New Roman" w:hAnsi="Times New Roman" w:cs="Times New Roman"/>
          <w:color w:val="000000"/>
          <w:sz w:val="24"/>
          <w:szCs w:val="24"/>
        </w:rPr>
        <w:t>, приводя к более выраженным или длительным фармакологическим эффектам итраконазола.</w:t>
      </w:r>
    </w:p>
    <w:p w:rsidR="00C87335" w:rsidRDefault="00C8733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Всасывание итраконазола снижается у пациентов со сниженной кислотностью желудка. Препараты, снижающие кислотность желудка, нарушают всасывание итраконазола из капсул. Чтобы противостоять данному эффекту, рекомендуется принимать итраконазол в капсулах с кислым напитк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недиетической колой), если принимаются препараты для снижения кислотности желудка (см. раздел «Особые указания»).</w:t>
      </w:r>
    </w:p>
    <w:p w:rsidR="00F25ED9" w:rsidRDefault="00C8733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Итраконазол и его основной метаболит гидроксиитраконазол являются мощными ингибиторами 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>CYP3A4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Итраконазол является ингибитором лекарственных транспортных молекул Р-гликопротеина и белка резистентности к раку молочной железы </w:t>
      </w:r>
      <w:r w:rsidRPr="00E761AC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BCRP</w:t>
      </w:r>
      <w:r w:rsidRPr="00E761A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5ED9">
        <w:rPr>
          <w:rFonts w:ascii="Times New Roman" w:hAnsi="Times New Roman" w:cs="Times New Roman"/>
          <w:color w:val="000000"/>
          <w:sz w:val="24"/>
          <w:szCs w:val="24"/>
        </w:rPr>
        <w:t>Итраконазол может инг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25ED9">
        <w:rPr>
          <w:rFonts w:ascii="Times New Roman" w:hAnsi="Times New Roman" w:cs="Times New Roman"/>
          <w:color w:val="000000"/>
          <w:sz w:val="24"/>
          <w:szCs w:val="24"/>
        </w:rPr>
        <w:t xml:space="preserve">бировать метаболизм препаратов, метаболизируемых </w:t>
      </w:r>
      <w:r w:rsidR="009153C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 xml:space="preserve">зоферментом </w:t>
      </w:r>
      <w:r w:rsidR="00F25ED9" w:rsidRPr="00983126">
        <w:rPr>
          <w:rFonts w:ascii="Times New Roman" w:hAnsi="Times New Roman" w:cs="Times New Roman"/>
          <w:color w:val="000000"/>
          <w:sz w:val="24"/>
          <w:szCs w:val="24"/>
        </w:rPr>
        <w:t>CYP3A4</w:t>
      </w:r>
      <w:r w:rsidR="00F25ED9">
        <w:rPr>
          <w:rFonts w:ascii="Times New Roman" w:hAnsi="Times New Roman" w:cs="Times New Roman"/>
          <w:color w:val="000000"/>
          <w:sz w:val="24"/>
          <w:szCs w:val="24"/>
        </w:rPr>
        <w:t>, и транспорт препаратов Р-гли</w:t>
      </w:r>
      <w:r w:rsidR="00742DC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25ED9">
        <w:rPr>
          <w:rFonts w:ascii="Times New Roman" w:hAnsi="Times New Roman" w:cs="Times New Roman"/>
          <w:color w:val="000000"/>
          <w:sz w:val="24"/>
          <w:szCs w:val="24"/>
        </w:rPr>
        <w:t xml:space="preserve">опротеином и/или </w:t>
      </w:r>
      <w:r w:rsidR="00F25ED9">
        <w:rPr>
          <w:rFonts w:ascii="Times New Roman" w:hAnsi="Times New Roman" w:cs="Times New Roman"/>
          <w:color w:val="000000"/>
          <w:sz w:val="24"/>
          <w:szCs w:val="24"/>
          <w:lang w:val="en-US"/>
        </w:rPr>
        <w:t>BCRP</w:t>
      </w:r>
      <w:r w:rsidR="00F25ED9">
        <w:rPr>
          <w:rFonts w:ascii="Times New Roman" w:hAnsi="Times New Roman" w:cs="Times New Roman"/>
          <w:color w:val="000000"/>
          <w:sz w:val="24"/>
          <w:szCs w:val="24"/>
        </w:rPr>
        <w:t>, в результате чего может возрастать концентрация этих препаратов и/или их активных метаболитов в плазме при одновременном применении с итраконазолом.</w:t>
      </w:r>
      <w:r w:rsidR="00F25ED9"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ED9">
        <w:rPr>
          <w:rFonts w:ascii="Times New Roman" w:hAnsi="Times New Roman" w:cs="Times New Roman"/>
          <w:color w:val="000000"/>
          <w:sz w:val="24"/>
          <w:szCs w:val="24"/>
        </w:rPr>
        <w:t>Повышение концентраций в плазме может усиливать или пролонгировать как терапевтические, так и нежелательные эффекты этих препаратов. Для некоторых препаратов совместное применение с итраконазолом может привести к снижению концентрации препарата в плазме. В результате этого эффективность препаратов может быть снижена.</w:t>
      </w:r>
    </w:p>
    <w:p w:rsidR="00B46B17" w:rsidRDefault="00B46B17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отмены терапии итраконазолом концентраци</w:t>
      </w:r>
      <w:r w:rsidR="00F6451A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плазме снижа</w:t>
      </w:r>
      <w:r w:rsidR="00F6451A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ниже предела определения в течение 7-14 дней в зависимости от доз и длительности терапии. У пациентов с циррозом печени или лиц, получавших ингибиторы 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>CYP3A4</w:t>
      </w:r>
      <w:r>
        <w:rPr>
          <w:rFonts w:ascii="Times New Roman" w:hAnsi="Times New Roman" w:cs="Times New Roman"/>
          <w:color w:val="000000"/>
          <w:sz w:val="24"/>
          <w:szCs w:val="24"/>
        </w:rPr>
        <w:t>, концентраци</w:t>
      </w:r>
      <w:r w:rsidR="00F6451A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плазме снижа</w:t>
      </w:r>
      <w:r w:rsidR="00F6451A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медленнее. Это особенно важно учитывать при начале терапии препаратами, на метаболизм которых влияет итраконазол.</w:t>
      </w:r>
    </w:p>
    <w:p w:rsidR="00B46B17" w:rsidRDefault="001D0581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Применимы</w:t>
      </w:r>
      <w:r w:rsidR="00B46B1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общие рекомендации, если в таблице не указано иное:</w:t>
      </w:r>
    </w:p>
    <w:p w:rsidR="005E1BE2" w:rsidRPr="00983126" w:rsidRDefault="001D0581" w:rsidP="00F4390B">
      <w:pPr>
        <w:pStyle w:val="af9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 w:rsidDel="001D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81D42" w:rsidRPr="00983126">
        <w:rPr>
          <w:rFonts w:ascii="Times New Roman" w:hAnsi="Times New Roman" w:cs="Times New Roman"/>
          <w:sz w:val="24"/>
          <w:szCs w:val="24"/>
        </w:rPr>
        <w:t xml:space="preserve"> </w:t>
      </w:r>
      <w:r w:rsidR="00981D4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518C3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53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gramStart"/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обстоятельствах нельзя применять </w:t>
      </w:r>
      <w:r w:rsidR="003003E1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</w:t>
      </w:r>
      <w:r w:rsidR="00742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итраконазолом</w:t>
      </w:r>
      <w:r w:rsidR="00742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относится к следующим препаратам: субстраты</w:t>
      </w:r>
      <w:r w:rsidR="00742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изофермента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>CYP3A4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 которых может возрастать концентрация в плазме с пролонгацией </w:t>
      </w:r>
      <w:r w:rsidR="000963B3">
        <w:rPr>
          <w:rFonts w:ascii="Times New Roman" w:hAnsi="Times New Roman" w:cs="Times New Roman"/>
          <w:color w:val="000000"/>
          <w:sz w:val="24"/>
          <w:szCs w:val="24"/>
        </w:rPr>
        <w:t xml:space="preserve">или усилением терапевтических и/или нежелательных эффектов до возникновения потенциально серьезных ситуаций </w:t>
      </w:r>
      <w:r w:rsidR="00A77459">
        <w:rPr>
          <w:rFonts w:ascii="Times New Roman" w:hAnsi="Times New Roman" w:cs="Times New Roman"/>
          <w:color w:val="000000"/>
          <w:sz w:val="24"/>
          <w:szCs w:val="24"/>
        </w:rPr>
        <w:t>(см. раздел «Противопоказания»);</w:t>
      </w:r>
    </w:p>
    <w:p w:rsidR="00D67A0B" w:rsidRDefault="005E1BE2" w:rsidP="00E158BE">
      <w:pPr>
        <w:pStyle w:val="af9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4390B"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рекомендуется»</w:t>
      </w:r>
      <w:r w:rsidR="00981D42" w:rsidRPr="00E158BE">
        <w:rPr>
          <w:rFonts w:ascii="Times New Roman" w:hAnsi="Times New Roman" w:cs="Times New Roman"/>
          <w:sz w:val="24"/>
          <w:szCs w:val="24"/>
        </w:rPr>
        <w:t xml:space="preserve"> </w:t>
      </w:r>
      <w:r w:rsidR="00981D42"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518C3"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екомендуется избегать применения </w:t>
      </w:r>
      <w:r w:rsidR="00742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препарата</w:t>
      </w:r>
      <w:r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когда польза превышает потенциальный риск</w:t>
      </w:r>
      <w:r w:rsidR="000963B3"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r w:rsidR="000963B3"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совместного применения </w:t>
      </w:r>
      <w:r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избежать</w:t>
      </w:r>
      <w:r w:rsidR="000963B3"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рекомендуется клиническое наблюдение, дозы итраконазола и/или одновременно принимаемых препаратов следует корректировать по мере необходимости. По возможности рекомендуется определять концентраци</w:t>
      </w:r>
      <w:r w:rsidR="00F64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963B3"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плазме. Это относится к следующим препаратам: умеренные или мощные индукторы </w:t>
      </w:r>
      <w:r w:rsidR="00742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изофермента </w:t>
      </w:r>
      <w:r w:rsidR="000963B3" w:rsidRPr="00E158BE">
        <w:rPr>
          <w:rFonts w:ascii="Times New Roman" w:hAnsi="Times New Roman" w:cs="Times New Roman"/>
          <w:color w:val="000000"/>
          <w:sz w:val="24"/>
          <w:szCs w:val="24"/>
        </w:rPr>
        <w:t>CYP3A4 – не рекомендуется назначение за 2 недели до и в течение лечения итраконазолом; субстраты CYP3A4/</w:t>
      </w:r>
      <w:proofErr w:type="gramStart"/>
      <w:r w:rsidR="000963B3" w:rsidRPr="00E158B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0963B3" w:rsidRPr="00E158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63B3" w:rsidRPr="00E158BE">
        <w:rPr>
          <w:rFonts w:ascii="Times New Roman" w:hAnsi="Times New Roman" w:cs="Times New Roman"/>
          <w:color w:val="000000"/>
          <w:sz w:val="24"/>
          <w:szCs w:val="24"/>
          <w:lang w:val="en-US"/>
        </w:rPr>
        <w:t>gp</w:t>
      </w:r>
      <w:r w:rsidR="000963B3" w:rsidRPr="00E761A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963B3" w:rsidRPr="00E158BE">
        <w:rPr>
          <w:rFonts w:ascii="Times New Roman" w:hAnsi="Times New Roman" w:cs="Times New Roman"/>
          <w:color w:val="000000"/>
          <w:sz w:val="24"/>
          <w:szCs w:val="24"/>
          <w:lang w:val="en-US"/>
        </w:rPr>
        <w:t>BCRP</w:t>
      </w:r>
      <w:r w:rsidR="000963B3" w:rsidRPr="00E158BE">
        <w:rPr>
          <w:rFonts w:ascii="Times New Roman" w:hAnsi="Times New Roman" w:cs="Times New Roman"/>
          <w:color w:val="000000"/>
          <w:sz w:val="24"/>
          <w:szCs w:val="24"/>
        </w:rPr>
        <w:t>, повышение и</w:t>
      </w:r>
      <w:r w:rsidR="00E158BE" w:rsidRPr="00E158BE">
        <w:rPr>
          <w:rFonts w:ascii="Times New Roman" w:hAnsi="Times New Roman" w:cs="Times New Roman"/>
          <w:color w:val="000000"/>
          <w:sz w:val="24"/>
          <w:szCs w:val="24"/>
        </w:rPr>
        <w:t xml:space="preserve">ли снижение концентраций которых в плазме может привести к значительному риску </w:t>
      </w:r>
      <w:r w:rsidR="00E158BE" w:rsidRPr="00EB340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158BE" w:rsidRPr="00352EB6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="00E158BE" w:rsidRPr="00064132">
        <w:rPr>
          <w:rFonts w:ascii="Times New Roman" w:hAnsi="Times New Roman" w:cs="Times New Roman"/>
          <w:color w:val="000000"/>
          <w:sz w:val="24"/>
          <w:szCs w:val="24"/>
        </w:rPr>
        <w:t>рекомендуется назначение во время и в течение 2</w:t>
      </w:r>
      <w:r w:rsidR="00A774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58BE" w:rsidRPr="00064132">
        <w:rPr>
          <w:rFonts w:ascii="Times New Roman" w:hAnsi="Times New Roman" w:cs="Times New Roman"/>
          <w:color w:val="000000"/>
          <w:sz w:val="24"/>
          <w:szCs w:val="24"/>
        </w:rPr>
        <w:t>недель после лечения итраконазолом</w:t>
      </w:r>
      <w:r w:rsidR="00A774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7397" w:rsidRDefault="005E1BE2" w:rsidP="00E158BE">
      <w:pPr>
        <w:pStyle w:val="af9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осторожностью»</w:t>
      </w:r>
      <w:r w:rsidR="00981D42" w:rsidRPr="00E158BE">
        <w:rPr>
          <w:rFonts w:ascii="Times New Roman" w:hAnsi="Times New Roman" w:cs="Times New Roman"/>
          <w:sz w:val="24"/>
          <w:szCs w:val="24"/>
        </w:rPr>
        <w:t xml:space="preserve"> </w:t>
      </w:r>
      <w:r w:rsidR="00981D42" w:rsidRP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15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тщательное наблюдение при одновременном применении препарата с итраконазолом. При одновременном применении рекомендуется тщательно наблюдать за пациентом и корректировать дозы итраконазола и/или сопутствующих препаратов</w:t>
      </w:r>
      <w:r w:rsidR="00C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мере необходимости. Если возможно, рекомендуе</w:t>
      </w:r>
      <w:r w:rsidR="00D6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определять концентрации в плазме</w:t>
      </w:r>
      <w:r w:rsidR="002C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относится к следующим препаратам: препараты, снижающие кислотность желудка (только для итраконазола в капсулах); умеренные или мощные ингибиторы </w:t>
      </w:r>
      <w:r w:rsidR="00D67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изофермента </w:t>
      </w:r>
      <w:r w:rsidR="002C7397" w:rsidRPr="00983126">
        <w:rPr>
          <w:rFonts w:ascii="Times New Roman" w:hAnsi="Times New Roman" w:cs="Times New Roman"/>
          <w:color w:val="000000"/>
          <w:sz w:val="24"/>
          <w:szCs w:val="24"/>
        </w:rPr>
        <w:t>CYP3A4</w:t>
      </w:r>
      <w:r w:rsidR="002C739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C7397" w:rsidRPr="009D7B77">
        <w:rPr>
          <w:rFonts w:ascii="Times New Roman" w:hAnsi="Times New Roman" w:cs="Times New Roman"/>
          <w:color w:val="000000"/>
          <w:sz w:val="24"/>
          <w:szCs w:val="24"/>
        </w:rPr>
        <w:t>субстраты CYP3A4/</w:t>
      </w:r>
      <w:proofErr w:type="gramStart"/>
      <w:r w:rsidR="002C7397" w:rsidRPr="009D7B7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7397" w:rsidRPr="009D7B7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C7397" w:rsidRPr="009D7B77">
        <w:rPr>
          <w:rFonts w:ascii="Times New Roman" w:hAnsi="Times New Roman" w:cs="Times New Roman"/>
          <w:color w:val="000000"/>
          <w:sz w:val="24"/>
          <w:szCs w:val="24"/>
          <w:lang w:val="en-US"/>
        </w:rPr>
        <w:t>gp</w:t>
      </w:r>
      <w:r w:rsidR="002C7397" w:rsidRPr="009D7B7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C7397" w:rsidRPr="00E158BE">
        <w:rPr>
          <w:rFonts w:ascii="Times New Roman" w:hAnsi="Times New Roman" w:cs="Times New Roman"/>
          <w:color w:val="000000"/>
          <w:sz w:val="24"/>
          <w:szCs w:val="24"/>
          <w:lang w:val="en-US"/>
        </w:rPr>
        <w:t>BCRP</w:t>
      </w:r>
      <w:r w:rsidR="002C7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которых повышение или снижение концентрации в плазме может привести к клинически значимому риску.</w:t>
      </w:r>
    </w:p>
    <w:p w:rsidR="00EB340F" w:rsidRDefault="002C7397" w:rsidP="00340986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взаимодействующих препаратов представлены в таблице ниже</w:t>
      </w:r>
      <w:r w:rsidR="00270A35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Препараты, перечисленные в таблице, выбраны на основе данных исследований лекарственных взаимодействий или клинических случаев, а также потенциальных лекарственных взаимодействий на основе механизма действия.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3934"/>
      </w:tblGrid>
      <w:tr w:rsidR="00EB340F" w:rsidTr="00E16BD3">
        <w:tc>
          <w:tcPr>
            <w:tcW w:w="2235" w:type="dxa"/>
          </w:tcPr>
          <w:p w:rsidR="00EB340F" w:rsidRPr="00E761AC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 препаратов и препараты</w:t>
            </w:r>
          </w:p>
        </w:tc>
        <w:tc>
          <w:tcPr>
            <w:tcW w:w="3402" w:type="dxa"/>
          </w:tcPr>
          <w:p w:rsidR="00FB217D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Ожидаемый/потенциальный эффект по отношению к уровню препарата</w:t>
            </w:r>
          </w:p>
          <w:p w:rsidR="00EB340F" w:rsidRPr="00E761AC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(см</w:t>
            </w:r>
            <w:r w:rsidR="00FB21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сноски)</w:t>
            </w:r>
          </w:p>
        </w:tc>
        <w:tc>
          <w:tcPr>
            <w:tcW w:w="3934" w:type="dxa"/>
          </w:tcPr>
          <w:p w:rsidR="00FB217D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Клинические комментарии</w:t>
            </w:r>
          </w:p>
          <w:p w:rsidR="00EB340F" w:rsidRPr="00E761AC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(см. примечания)</w:t>
            </w:r>
          </w:p>
        </w:tc>
      </w:tr>
      <w:tr w:rsidR="00EB340F" w:rsidTr="00E16BD3">
        <w:tc>
          <w:tcPr>
            <w:tcW w:w="9571" w:type="dxa"/>
            <w:gridSpan w:val="3"/>
          </w:tcPr>
          <w:p w:rsidR="00EB340F" w:rsidRPr="00E761AC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Альфа-блокаторы</w:t>
            </w:r>
          </w:p>
        </w:tc>
      </w:tr>
      <w:tr w:rsidR="00EB340F" w:rsidTr="00E16BD3">
        <w:tc>
          <w:tcPr>
            <w:tcW w:w="2235" w:type="dxa"/>
          </w:tcPr>
          <w:p w:rsidR="00EB340F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Алфузозин</w:t>
            </w:r>
          </w:p>
          <w:p w:rsidR="007D375A" w:rsidRDefault="007D375A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40F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Силодозин</w:t>
            </w:r>
          </w:p>
          <w:p w:rsidR="007D375A" w:rsidRDefault="007D375A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40F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3402" w:type="dxa"/>
          </w:tcPr>
          <w:p w:rsidR="00EB340F" w:rsidRPr="00EB340F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Алфузозин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(↑↑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EB340F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Силодозин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352EB6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="00352EB6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52EB6" w:rsidRPr="00EB340F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Тамсулозин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352EB6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35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="00352EB6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EB340F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EB340F" w:rsidRDefault="00352EB6" w:rsidP="004130A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во время и 2</w:t>
            </w:r>
            <w:r w:rsidR="00413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недели после окончания лечения итраконазолом. Повышен риск появления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связанных с </w:t>
            </w:r>
            <w:r w:rsidR="00D50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алфузозином/силодозином/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тамсулозином</w:t>
            </w:r>
          </w:p>
        </w:tc>
      </w:tr>
      <w:tr w:rsidR="00352EB6" w:rsidTr="00E16BD3">
        <w:tc>
          <w:tcPr>
            <w:tcW w:w="9571" w:type="dxa"/>
            <w:gridSpan w:val="3"/>
          </w:tcPr>
          <w:p w:rsidR="00352EB6" w:rsidRPr="00E761AC" w:rsidRDefault="00352EB6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Анальгетики</w:t>
            </w:r>
          </w:p>
        </w:tc>
      </w:tr>
      <w:tr w:rsidR="00EB340F" w:rsidTr="00E16BD3">
        <w:tc>
          <w:tcPr>
            <w:tcW w:w="2235" w:type="dxa"/>
          </w:tcPr>
          <w:p w:rsidR="00EB340F" w:rsidRDefault="00352EB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Алфентанил</w:t>
            </w:r>
          </w:p>
          <w:p w:rsidR="00352EB6" w:rsidRDefault="00352EB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Бупренорфин (в/в и подъязычно)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Оксикодон</w:t>
            </w:r>
          </w:p>
          <w:p w:rsidR="00352EB6" w:rsidRDefault="00352EB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Суфентанил</w:t>
            </w:r>
          </w:p>
        </w:tc>
        <w:tc>
          <w:tcPr>
            <w:tcW w:w="3402" w:type="dxa"/>
          </w:tcPr>
          <w:p w:rsidR="00352EB6" w:rsidRDefault="00352EB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Алфентанил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(↑↑-↑↑↑↑)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52EB6" w:rsidRDefault="00352EB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Бупренорфин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52EB6" w:rsidRPr="00352EB6" w:rsidRDefault="00352EB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Оксикодон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334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</w:t>
            </w:r>
          </w:p>
          <w:p w:rsidR="00EB340F" w:rsidRPr="00033BCF" w:rsidRDefault="00352EB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Суфентанил – повышение концентрации </w:t>
            </w:r>
            <w:r w:rsidR="00033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(степень неизвестна) </w:t>
            </w:r>
            <w:r w:rsidR="00033BCF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="00033BCF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033BCF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EB340F" w:rsidRDefault="00033B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анальгетики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алфентанила/ бупренорфина/ оксикодона/ суфентанила</w:t>
            </w:r>
          </w:p>
        </w:tc>
      </w:tr>
      <w:tr w:rsidR="00EB340F" w:rsidTr="00E16BD3">
        <w:tc>
          <w:tcPr>
            <w:tcW w:w="2235" w:type="dxa"/>
          </w:tcPr>
          <w:p w:rsidR="00EB340F" w:rsidRDefault="00352EB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3402" w:type="dxa"/>
          </w:tcPr>
          <w:p w:rsidR="00033BCF" w:rsidRDefault="00033BC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Фентанил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в/в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EB340F" w:rsidRPr="00033BCF" w:rsidRDefault="00033BC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Фентанил в других формах – повышение концентрации (степень неизвестна)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EB340F" w:rsidRDefault="00033BCF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во время и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после окончания лечения итраконазолом. Повышен риск появления нежелательных реакций на фентанил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EB340F" w:rsidTr="00E16BD3">
        <w:tc>
          <w:tcPr>
            <w:tcW w:w="2235" w:type="dxa"/>
          </w:tcPr>
          <w:p w:rsidR="00EB340F" w:rsidRDefault="00033B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Левацетилметадол</w:t>
            </w:r>
          </w:p>
          <w:p w:rsidR="00033BCF" w:rsidRDefault="00033B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(левометадил)</w:t>
            </w:r>
          </w:p>
        </w:tc>
        <w:tc>
          <w:tcPr>
            <w:tcW w:w="3402" w:type="dxa"/>
          </w:tcPr>
          <w:p w:rsidR="00033BCF" w:rsidRPr="00EB340F" w:rsidRDefault="00033B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Левацетилметадол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033BCF" w:rsidRDefault="00033B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340F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EB340F" w:rsidRPr="00064132" w:rsidRDefault="00033B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</w:t>
            </w:r>
            <w:r w:rsidR="0006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левацетилметадол: пролонгация интервала </w:t>
            </w:r>
            <w:r w:rsidR="0006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 w:rsidR="0006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пируэтная тахикардия</w:t>
            </w:r>
          </w:p>
        </w:tc>
      </w:tr>
      <w:tr w:rsidR="00EB340F" w:rsidTr="00E16BD3">
        <w:tc>
          <w:tcPr>
            <w:tcW w:w="2235" w:type="dxa"/>
          </w:tcPr>
          <w:p w:rsidR="00EB340F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Метадон</w:t>
            </w:r>
          </w:p>
        </w:tc>
        <w:tc>
          <w:tcPr>
            <w:tcW w:w="3402" w:type="dxa"/>
          </w:tcPr>
          <w:p w:rsidR="00064132" w:rsidRPr="00EB340F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-метадон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EB340F" w:rsidRPr="00064132" w:rsidRDefault="00EB340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EB340F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метадон: потенциально угрожающее жизни угнетение дыхания,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пируэтная тахикардия</w:t>
            </w:r>
          </w:p>
        </w:tc>
      </w:tr>
      <w:tr w:rsidR="00064132" w:rsidTr="00E16BD3">
        <w:tc>
          <w:tcPr>
            <w:tcW w:w="9571" w:type="dxa"/>
            <w:gridSpan w:val="3"/>
          </w:tcPr>
          <w:p w:rsidR="00064132" w:rsidRPr="00E761AC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Противоаритмические средства</w:t>
            </w:r>
          </w:p>
        </w:tc>
      </w:tr>
      <w:tr w:rsidR="00064132" w:rsidTr="00E16BD3">
        <w:tc>
          <w:tcPr>
            <w:tcW w:w="2235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3402" w:type="dxa"/>
          </w:tcPr>
          <w:p w:rsidR="00064132" w:rsidRPr="00EB340F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Дигоксин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дигоксин, может потребоваться снижение дозы дигоксина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064132" w:rsidTr="00E16BD3">
        <w:tc>
          <w:tcPr>
            <w:tcW w:w="2235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Дизопирамид</w:t>
            </w:r>
          </w:p>
        </w:tc>
        <w:tc>
          <w:tcPr>
            <w:tcW w:w="3402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Дизопирамид – повышение концентрации (↑↑)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</w:t>
            </w:r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дизопирамид: серьезные аритмии, включая пируэтную тахикардию</w:t>
            </w:r>
          </w:p>
        </w:tc>
      </w:tr>
      <w:tr w:rsidR="00064132" w:rsidTr="00E16BD3">
        <w:tc>
          <w:tcPr>
            <w:tcW w:w="2235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Дофетилид</w:t>
            </w:r>
          </w:p>
        </w:tc>
        <w:tc>
          <w:tcPr>
            <w:tcW w:w="3402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Дофетилид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064132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дофетилид: серьезные желудочковые аритмии, включая пируэтную тахикардию</w:t>
            </w:r>
          </w:p>
        </w:tc>
      </w:tr>
      <w:tr w:rsidR="00064132" w:rsidTr="00E16BD3">
        <w:tc>
          <w:tcPr>
            <w:tcW w:w="2235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Дронедарон</w:t>
            </w:r>
          </w:p>
        </w:tc>
        <w:tc>
          <w:tcPr>
            <w:tcW w:w="3402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Дронедарон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(↑↑↑↑)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064132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дронедарон: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сердечно-сосу</w:t>
            </w:r>
            <w:r w:rsidR="00B37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дистая смерть</w:t>
            </w:r>
          </w:p>
        </w:tc>
      </w:tr>
      <w:tr w:rsidR="00064132" w:rsidTr="00E16BD3">
        <w:tc>
          <w:tcPr>
            <w:tcW w:w="2235" w:type="dxa"/>
          </w:tcPr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Хини</w:t>
            </w:r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3402" w:type="dxa"/>
          </w:tcPr>
          <w:p w:rsidR="00064132" w:rsidRPr="00EB340F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Хини</w:t>
            </w:r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</w:t>
            </w:r>
          </w:p>
          <w:p w:rsidR="00064132" w:rsidRDefault="0006413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064132" w:rsidRP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хинидин: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пируэтная тахикардия, гипотензия, спутанность сознания и делирий</w:t>
            </w:r>
          </w:p>
        </w:tc>
      </w:tr>
      <w:tr w:rsidR="00064132" w:rsidTr="00E16BD3">
        <w:tc>
          <w:tcPr>
            <w:tcW w:w="9571" w:type="dxa"/>
            <w:gridSpan w:val="3"/>
          </w:tcPr>
          <w:p w:rsidR="00064132" w:rsidRPr="00E761AC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BD4D67" w:rsidTr="00E16BD3">
        <w:tc>
          <w:tcPr>
            <w:tcW w:w="2235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3402" w:type="dxa"/>
          </w:tcPr>
          <w:p w:rsidR="00BD4D67" w:rsidRPr="00EB340F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Бедаквилин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(↔),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 в тече</w:t>
            </w:r>
            <w:r w:rsidR="00E03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2 недель один раз в сутки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даквилина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 течение 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двух недель в любой момент лечения бедаквилином в связи с повышением риска появления нежелательных реакций на бедаквилин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BD4D67" w:rsidTr="00E16BD3">
        <w:tc>
          <w:tcPr>
            <w:tcW w:w="2235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Ципрофлоксацин</w:t>
            </w:r>
          </w:p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Эритромицин</w:t>
            </w:r>
          </w:p>
        </w:tc>
        <w:tc>
          <w:tcPr>
            <w:tcW w:w="3402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3C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</w:tc>
        <w:tc>
          <w:tcPr>
            <w:tcW w:w="3934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итраконазол, может потребоваться снижение дозы итраконазол</w:t>
            </w:r>
            <w:r w:rsidR="005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D4D67" w:rsidTr="00E16BD3">
        <w:tc>
          <w:tcPr>
            <w:tcW w:w="2235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3402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Кларитромицин</w:t>
            </w:r>
            <w:r w:rsidR="005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повышение концентрации (степень неизвестна) 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  <w:r w:rsidR="005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544A8C" w:rsidRPr="00544A8C" w:rsidRDefault="00544A8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</w:tc>
        <w:tc>
          <w:tcPr>
            <w:tcW w:w="3934" w:type="dxa"/>
          </w:tcPr>
          <w:p w:rsidR="00BD4D67" w:rsidRDefault="00544A8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итраконазол и/или кларитромицин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итраконазола и/или кларитромицина</w:t>
            </w:r>
          </w:p>
        </w:tc>
      </w:tr>
      <w:tr w:rsidR="00BD4D67" w:rsidTr="00E16BD3">
        <w:tc>
          <w:tcPr>
            <w:tcW w:w="2235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Деламанид</w:t>
            </w:r>
          </w:p>
          <w:p w:rsidR="00544A8C" w:rsidRDefault="00544A8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A8C" w:rsidRDefault="00544A8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D67" w:rsidRDefault="00EF710E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Триметре</w:t>
            </w:r>
            <w:r w:rsidR="00BD4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ксат</w:t>
            </w:r>
          </w:p>
        </w:tc>
        <w:tc>
          <w:tcPr>
            <w:tcW w:w="3402" w:type="dxa"/>
          </w:tcPr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Деламанид</w:t>
            </w:r>
            <w:r w:rsidR="005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повышение концентрации (степень неизвестна) 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  <w:r w:rsidR="005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BD4D67" w:rsidRDefault="00BD4D6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Триметриксат</w:t>
            </w:r>
            <w:r w:rsidR="005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повышение концентрации (степень неизвестна) 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544A8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BD4D67" w:rsidRDefault="00544A8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деламанид/триметр</w:t>
            </w:r>
            <w:r w:rsidR="007D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ксат, может потребоваться снижение дозы итраконазола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EB340F" w:rsidTr="00E16BD3">
        <w:tc>
          <w:tcPr>
            <w:tcW w:w="2235" w:type="dxa"/>
          </w:tcPr>
          <w:p w:rsidR="00EB340F" w:rsidRDefault="00544A8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Изониазид</w:t>
            </w:r>
          </w:p>
          <w:p w:rsidR="007D375A" w:rsidRDefault="007D375A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4A8C" w:rsidRDefault="00544A8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3402" w:type="dxa"/>
          </w:tcPr>
          <w:p w:rsidR="00EB340F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Изониазид: концентрация итраконазола (↓↓↓)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EF2C0D" w:rsidRPr="00EF2C0D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Рифампицин: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итраконазола ↓↓↓</w:t>
            </w:r>
          </w:p>
          <w:p w:rsidR="00EF2C0D" w:rsidRPr="00EF2C0D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EB340F" w:rsidRDefault="00EF2C0D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 течение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лечения итраконазолом, может быть снижена эффективность итраконазола</w:t>
            </w:r>
          </w:p>
        </w:tc>
      </w:tr>
      <w:tr w:rsidR="00EB340F" w:rsidTr="00E16BD3">
        <w:tc>
          <w:tcPr>
            <w:tcW w:w="2235" w:type="dxa"/>
          </w:tcPr>
          <w:p w:rsidR="00EB340F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3402" w:type="dxa"/>
          </w:tcPr>
          <w:p w:rsidR="00EF2C0D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Рифабутин – повышение концентрации (степень неизвестна)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EB340F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↓↓,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↓↓</w:t>
            </w:r>
          </w:p>
        </w:tc>
        <w:tc>
          <w:tcPr>
            <w:tcW w:w="3934" w:type="dxa"/>
          </w:tcPr>
          <w:p w:rsidR="00EF2C0D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рекомендуется </w:t>
            </w:r>
            <w:r w:rsidR="00EC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7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до, во время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 после лечения итраконазолом. </w:t>
            </w:r>
          </w:p>
          <w:p w:rsidR="00EB340F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снижение эффективности итраконазола и повышение риска появления нежелательных реакций на рифабутин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EB340F" w:rsidTr="00E16BD3">
        <w:tc>
          <w:tcPr>
            <w:tcW w:w="2235" w:type="dxa"/>
          </w:tcPr>
          <w:p w:rsidR="00EB340F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Телитромицин</w:t>
            </w:r>
          </w:p>
        </w:tc>
        <w:tc>
          <w:tcPr>
            <w:tcW w:w="3402" w:type="dxa"/>
          </w:tcPr>
          <w:p w:rsidR="00EB340F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здоровых добровольцев:</w:t>
            </w:r>
          </w:p>
          <w:p w:rsidR="00EF2C0D" w:rsidRDefault="0087358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F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елитромицин </w:t>
            </w:r>
            <w:r w:rsidR="00EF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EF2C0D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EF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 w:rsidR="00EF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EF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  <w:p w:rsidR="00EF2C0D" w:rsidRDefault="00EF2C0D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тяжелом нарушении функции почек:</w:t>
            </w:r>
          </w:p>
          <w:p w:rsidR="0087358F" w:rsidRDefault="0087358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7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телитромицин AUC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7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87358F" w:rsidRDefault="0087358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тяжелом нарушении функции печени:</w:t>
            </w:r>
          </w:p>
          <w:p w:rsidR="0087358F" w:rsidRPr="0087358F" w:rsidRDefault="0087358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телитромицин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повышение концентрации (степень неизвестна)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87358F" w:rsidRDefault="0087358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пациентам с тяжелым нарушением функции печени и</w:t>
            </w:r>
            <w:r w:rsidR="0010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почек во время и в течение 2 недель после лечения итраконазолом. Повышен риск появления нежелательных реакций на телитромицин, включая печеночную токсичность, пролонгацию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пируэтную тахикардию</w:t>
            </w:r>
            <w:r w:rsidR="0010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340F" w:rsidRDefault="0087358F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других пациентов следует применять с осторожностью, наблюдать на предмет появления нежелательных реакций на телитромицин, может потребоваться снижение дозы телитромицина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5A1A9B" w:rsidTr="00E16BD3">
        <w:tc>
          <w:tcPr>
            <w:tcW w:w="9571" w:type="dxa"/>
            <w:gridSpan w:val="3"/>
          </w:tcPr>
          <w:p w:rsidR="005A1A9B" w:rsidRPr="00E761AC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Антикоагулянты и антитромботические средства</w:t>
            </w:r>
          </w:p>
        </w:tc>
      </w:tr>
      <w:tr w:rsidR="00EB340F" w:rsidTr="00E16BD3">
        <w:tc>
          <w:tcPr>
            <w:tcW w:w="2235" w:type="dxa"/>
          </w:tcPr>
          <w:p w:rsidR="00EB340F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Апиксабан</w:t>
            </w:r>
          </w:p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Ривароксабан</w:t>
            </w:r>
          </w:p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Ворапаксар</w:t>
            </w:r>
          </w:p>
        </w:tc>
        <w:tc>
          <w:tcPr>
            <w:tcW w:w="3402" w:type="dxa"/>
          </w:tcPr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Апиксабан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Ривароксабан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(↑-↑↑)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EB340F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Ворапаксар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EB340F" w:rsidRDefault="005A1A9B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во время и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после лечения итраконазолом. Повышен риск появления нежелательных реакций на апиксабан/ ривароксабан/ ворапаксар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5A1A9B" w:rsidTr="00E16BD3">
        <w:tc>
          <w:tcPr>
            <w:tcW w:w="2235" w:type="dxa"/>
          </w:tcPr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Кумарины (например, варфарин)</w:t>
            </w:r>
          </w:p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Цилостазол</w:t>
            </w:r>
          </w:p>
        </w:tc>
        <w:tc>
          <w:tcPr>
            <w:tcW w:w="3402" w:type="dxa"/>
          </w:tcPr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Кумарины (например, варфарин) – повышение концентрации (степень неизвестна)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Цилостазол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5A1A9B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кумарины/цилостазол, может потребоваться снижение дозы кумаринов/цилостазола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737D07" w:rsidTr="00E16BD3">
        <w:tc>
          <w:tcPr>
            <w:tcW w:w="2235" w:type="dxa"/>
          </w:tcPr>
          <w:p w:rsidR="00737D07" w:rsidRDefault="00737D0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Дабигатран</w:t>
            </w:r>
          </w:p>
        </w:tc>
        <w:tc>
          <w:tcPr>
            <w:tcW w:w="3402" w:type="dxa"/>
          </w:tcPr>
          <w:p w:rsidR="00737D07" w:rsidRDefault="00737D0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Дабигатран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737D07" w:rsidRDefault="00737D0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дабигатран, может потребоваться снижение дозы дабигатрана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737D07" w:rsidTr="00E16BD3">
        <w:tc>
          <w:tcPr>
            <w:tcW w:w="2235" w:type="dxa"/>
          </w:tcPr>
          <w:p w:rsidR="00737D07" w:rsidRDefault="00737D0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3402" w:type="dxa"/>
          </w:tcPr>
          <w:p w:rsidR="00737D07" w:rsidRDefault="00737D0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Тикагрелор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737D07" w:rsidRDefault="00737D0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тикагрелор, например кровотечений.</w:t>
            </w:r>
          </w:p>
        </w:tc>
      </w:tr>
      <w:tr w:rsidR="005A1A9B" w:rsidTr="00E16BD3">
        <w:tc>
          <w:tcPr>
            <w:tcW w:w="9571" w:type="dxa"/>
            <w:gridSpan w:val="3"/>
          </w:tcPr>
          <w:p w:rsidR="005A1A9B" w:rsidRPr="00E761AC" w:rsidRDefault="005A1A9B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Противосудорожные средства</w:t>
            </w:r>
          </w:p>
        </w:tc>
      </w:tr>
      <w:tr w:rsidR="005A1A9B" w:rsidTr="00E16BD3">
        <w:tc>
          <w:tcPr>
            <w:tcW w:w="2235" w:type="dxa"/>
          </w:tcPr>
          <w:p w:rsidR="005A1A9B" w:rsidRDefault="00737D0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3402" w:type="dxa"/>
          </w:tcPr>
          <w:p w:rsidR="005A1A9B" w:rsidRDefault="00EC74B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карбамазепина (↑)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EC74B7" w:rsidRPr="00EC74B7" w:rsidRDefault="00EC74B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итраконазола (↓↓)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EC74B7" w:rsidRDefault="00EC74B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 течение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до, во время и в течение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 после лечения итраконазолом. </w:t>
            </w:r>
          </w:p>
          <w:p w:rsidR="005A1A9B" w:rsidRDefault="00EC74B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итраконазола может быть снижена в связи с повышением риска появления нежелательных реакций на карбамазепин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5A1A9B" w:rsidTr="00E16BD3">
        <w:tc>
          <w:tcPr>
            <w:tcW w:w="2235" w:type="dxa"/>
          </w:tcPr>
          <w:p w:rsidR="005A1A9B" w:rsidRDefault="00737D0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Фенобарбитал</w:t>
            </w:r>
          </w:p>
          <w:p w:rsidR="00EC74B7" w:rsidRDefault="00EC74B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74B7" w:rsidRDefault="00EC74B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3402" w:type="dxa"/>
          </w:tcPr>
          <w:p w:rsidR="005A1A9B" w:rsidRDefault="00EC74B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Фенобарбитал: концентрация итраконазола (↓↓↓)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EC74B7" w:rsidRPr="00EC74B7" w:rsidRDefault="00EC74B7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Фенитоин: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итраконазола ↓↓↓</w:t>
            </w:r>
          </w:p>
        </w:tc>
        <w:tc>
          <w:tcPr>
            <w:tcW w:w="3934" w:type="dxa"/>
          </w:tcPr>
          <w:p w:rsidR="005A1A9B" w:rsidRDefault="00EC74B7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 течение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до, во время и в течение 2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после лечения итраконазолом</w:t>
            </w:r>
            <w:r w:rsidR="00524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быть снижена эффективность итраконазола</w:t>
            </w:r>
          </w:p>
        </w:tc>
      </w:tr>
      <w:tr w:rsidR="005244BC" w:rsidTr="00E16BD3">
        <w:tc>
          <w:tcPr>
            <w:tcW w:w="9571" w:type="dxa"/>
            <w:gridSpan w:val="3"/>
          </w:tcPr>
          <w:p w:rsidR="005244BC" w:rsidRPr="00E761AC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Противодиабетические средства</w:t>
            </w:r>
          </w:p>
        </w:tc>
      </w:tr>
      <w:tr w:rsidR="005A1A9B" w:rsidTr="00E16BD3">
        <w:tc>
          <w:tcPr>
            <w:tcW w:w="2235" w:type="dxa"/>
          </w:tcPr>
          <w:p w:rsidR="005A1A9B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Репаглинид</w:t>
            </w:r>
          </w:p>
          <w:p w:rsidR="005244BC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3402" w:type="dxa"/>
          </w:tcPr>
          <w:p w:rsidR="005244BC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Репаглинид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  <w:p w:rsidR="005A1A9B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Саксаглиптин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5A1A9B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репаглинид/саксаглиптин, может потребоваться снижение дозы репаглинид</w:t>
            </w:r>
            <w:r w:rsidR="00ED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/саксаглиптин</w:t>
            </w:r>
            <w:r w:rsidR="00ED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gramStart"/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proofErr w:type="gramEnd"/>
          </w:p>
        </w:tc>
      </w:tr>
      <w:tr w:rsidR="005244BC" w:rsidTr="00E16BD3">
        <w:tc>
          <w:tcPr>
            <w:tcW w:w="9571" w:type="dxa"/>
            <w:gridSpan w:val="3"/>
          </w:tcPr>
          <w:p w:rsidR="005244BC" w:rsidRPr="00E761AC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Антигельминтные, противогрибковые и антипротозойные средства</w:t>
            </w:r>
          </w:p>
        </w:tc>
      </w:tr>
      <w:tr w:rsidR="005A1A9B" w:rsidTr="00E16BD3">
        <w:trPr>
          <w:trHeight w:val="555"/>
        </w:trPr>
        <w:tc>
          <w:tcPr>
            <w:tcW w:w="2235" w:type="dxa"/>
          </w:tcPr>
          <w:p w:rsidR="005A1A9B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Артеметер</w:t>
            </w:r>
            <w:r w:rsidR="0010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люмефантрин</w:t>
            </w:r>
          </w:p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Хинин</w:t>
            </w:r>
          </w:p>
        </w:tc>
        <w:tc>
          <w:tcPr>
            <w:tcW w:w="3402" w:type="dxa"/>
          </w:tcPr>
          <w:p w:rsidR="005A1A9B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Артеметер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Люмефантрин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Хинин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↔,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3C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  <w:p w:rsidR="005244BC" w:rsidRPr="005244BC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A1A9B" w:rsidRDefault="005244BC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 осторожностью, наблюдать на предмет появления нежелательных реакций на </w:t>
            </w:r>
            <w:r w:rsidR="006A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ртеметер</w:t>
            </w:r>
            <w:r w:rsidR="00103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люмефантрин</w:t>
            </w:r>
            <w:r w:rsidR="006A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/хинин</w:t>
            </w:r>
            <w:r w:rsidR="006A0A71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 w:rsidR="006A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Специфические действия описаны в ин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струкциях по применению</w:t>
            </w:r>
          </w:p>
        </w:tc>
      </w:tr>
      <w:tr w:rsidR="006A0A71" w:rsidTr="00E16BD3">
        <w:tc>
          <w:tcPr>
            <w:tcW w:w="2235" w:type="dxa"/>
          </w:tcPr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Галофантрин</w:t>
            </w:r>
          </w:p>
        </w:tc>
        <w:tc>
          <w:tcPr>
            <w:tcW w:w="3402" w:type="dxa"/>
          </w:tcPr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Галофантрин – повышение концентрации (степень неизвестна)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галофантрин: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летальные аритмии</w:t>
            </w:r>
          </w:p>
        </w:tc>
      </w:tr>
      <w:tr w:rsidR="006A0A71" w:rsidTr="00E16BD3">
        <w:tc>
          <w:tcPr>
            <w:tcW w:w="2235" w:type="dxa"/>
          </w:tcPr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Изавуконазол</w:t>
            </w:r>
          </w:p>
        </w:tc>
        <w:tc>
          <w:tcPr>
            <w:tcW w:w="3402" w:type="dxa"/>
          </w:tcPr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Изавуконазол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изавуконазол: нарушения со стороны печени, реакции гиперчувствительности и эмбриофетотоксичность</w:t>
            </w:r>
          </w:p>
        </w:tc>
      </w:tr>
      <w:tr w:rsidR="006A0A71" w:rsidTr="00E16BD3">
        <w:tc>
          <w:tcPr>
            <w:tcW w:w="2235" w:type="dxa"/>
          </w:tcPr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3402" w:type="dxa"/>
          </w:tcPr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Празиквантел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6A0A71" w:rsidRDefault="006A0A71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A0A71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празиквантел, может потребоваться снижение дозы празиквантела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07CF" w:rsidTr="00E16BD3">
        <w:tc>
          <w:tcPr>
            <w:tcW w:w="9571" w:type="dxa"/>
            <w:gridSpan w:val="3"/>
          </w:tcPr>
          <w:p w:rsidR="001907CF" w:rsidRPr="00E761AC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Антигистаминные средства</w:t>
            </w:r>
          </w:p>
        </w:tc>
      </w:tr>
      <w:tr w:rsidR="001907CF" w:rsidTr="00E16BD3">
        <w:tc>
          <w:tcPr>
            <w:tcW w:w="2235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Астемизол</w:t>
            </w:r>
          </w:p>
        </w:tc>
        <w:tc>
          <w:tcPr>
            <w:tcW w:w="3402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Астемизол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1907CF" w:rsidRP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астемизол: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пируэтная тахикардия и другие желудочковые аритмии.</w:t>
            </w:r>
          </w:p>
        </w:tc>
      </w:tr>
      <w:tr w:rsidR="001907CF" w:rsidTr="00E16BD3">
        <w:tc>
          <w:tcPr>
            <w:tcW w:w="2235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Биластин</w:t>
            </w:r>
          </w:p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Эбастин</w:t>
            </w:r>
          </w:p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Рупатадин</w:t>
            </w:r>
          </w:p>
        </w:tc>
        <w:tc>
          <w:tcPr>
            <w:tcW w:w="3402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Биластин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Эбастин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↑↑↑</w:t>
            </w:r>
          </w:p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Рупатадин</w:t>
            </w:r>
            <w:r w:rsidR="003C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концентрации (↑↑↑↑)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a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</w:t>
            </w:r>
            <w:r w:rsidR="002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биластин/эбастин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рупатадин</w:t>
            </w:r>
            <w:r w:rsidR="002243C6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 w:rsidR="002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потребоваться снижение дозы </w:t>
            </w:r>
            <w:r w:rsidR="002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биластина/эбастина, рупатадина</w:t>
            </w:r>
          </w:p>
        </w:tc>
      </w:tr>
      <w:tr w:rsidR="001907CF" w:rsidTr="00E16BD3">
        <w:tc>
          <w:tcPr>
            <w:tcW w:w="2235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Мизоластин</w:t>
            </w:r>
          </w:p>
        </w:tc>
        <w:tc>
          <w:tcPr>
            <w:tcW w:w="3402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Мизоластин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1907CF" w:rsidRPr="002243C6" w:rsidRDefault="002243C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мизоластин: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</w:p>
        </w:tc>
      </w:tr>
      <w:tr w:rsidR="001907CF" w:rsidTr="00E16BD3">
        <w:tc>
          <w:tcPr>
            <w:tcW w:w="2235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Терфенадин</w:t>
            </w:r>
          </w:p>
        </w:tc>
        <w:tc>
          <w:tcPr>
            <w:tcW w:w="3402" w:type="dxa"/>
          </w:tcPr>
          <w:p w:rsidR="001907CF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Терфенадин – повышение концентрации (степень неизвестна)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1907CF" w:rsidRDefault="002243C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терфенадин: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пируэтная тахикардия и другие же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лудочковые аритмии</w:t>
            </w:r>
          </w:p>
        </w:tc>
      </w:tr>
      <w:tr w:rsidR="001907CF" w:rsidTr="00E16BD3">
        <w:tc>
          <w:tcPr>
            <w:tcW w:w="9571" w:type="dxa"/>
            <w:gridSpan w:val="3"/>
          </w:tcPr>
          <w:p w:rsidR="001907CF" w:rsidRPr="00E761AC" w:rsidRDefault="001907CF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Противомигренозные средства</w:t>
            </w:r>
          </w:p>
        </w:tc>
      </w:tr>
      <w:tr w:rsidR="005A1A9B" w:rsidTr="00E16BD3">
        <w:tc>
          <w:tcPr>
            <w:tcW w:w="2235" w:type="dxa"/>
          </w:tcPr>
          <w:p w:rsidR="005A1A9B" w:rsidRDefault="002243C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Элетриптан</w:t>
            </w:r>
          </w:p>
        </w:tc>
        <w:tc>
          <w:tcPr>
            <w:tcW w:w="3402" w:type="dxa"/>
          </w:tcPr>
          <w:p w:rsidR="005A1A9B" w:rsidRDefault="004F260B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Элетриптан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5A1A9B" w:rsidRDefault="00724BD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элетриптан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элетриптана</w:t>
            </w:r>
          </w:p>
        </w:tc>
      </w:tr>
      <w:tr w:rsidR="005A1A9B" w:rsidTr="00E16BD3">
        <w:tc>
          <w:tcPr>
            <w:tcW w:w="2235" w:type="dxa"/>
          </w:tcPr>
          <w:p w:rsidR="005A1A9B" w:rsidRDefault="002243C6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Алкалоиды спорыньи (дигидроэрготамин, эргометрин, эрготамин, метилэргометрин)</w:t>
            </w:r>
          </w:p>
        </w:tc>
        <w:tc>
          <w:tcPr>
            <w:tcW w:w="3402" w:type="dxa"/>
          </w:tcPr>
          <w:p w:rsidR="005A1A9B" w:rsidRDefault="00724BD2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Алкалоиды спорыньи –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5A1A9B" w:rsidRDefault="00724BD2" w:rsidP="003C4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алкалои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спорыньи, таких как эрготизм</w:t>
            </w:r>
          </w:p>
        </w:tc>
      </w:tr>
      <w:tr w:rsidR="002243C6" w:rsidTr="00E16BD3">
        <w:tc>
          <w:tcPr>
            <w:tcW w:w="9571" w:type="dxa"/>
            <w:gridSpan w:val="3"/>
          </w:tcPr>
          <w:p w:rsidR="002243C6" w:rsidRPr="00E761AC" w:rsidRDefault="002243C6" w:rsidP="003C441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</w:tr>
      <w:tr w:rsidR="005A1A9B" w:rsidTr="00E16BD3">
        <w:tc>
          <w:tcPr>
            <w:tcW w:w="2235" w:type="dxa"/>
          </w:tcPr>
          <w:p w:rsidR="005A1A9B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Бортезомиб</w:t>
            </w:r>
          </w:p>
          <w:p w:rsidR="002243C6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Брентуксимаб</w:t>
            </w:r>
            <w:r w:rsidR="00ED4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2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едотин</w:t>
            </w: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Бусульфан</w:t>
            </w: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Эрлотиниб</w:t>
            </w: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Гефитиниб</w:t>
            </w: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Иматиниб</w:t>
            </w: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Иксабепилон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Нинтеданиб</w:t>
            </w: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C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C4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биностат</w:t>
            </w:r>
          </w:p>
          <w:p w:rsidR="00BB6D05" w:rsidRDefault="00BB6D05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Понатиниб</w:t>
            </w: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Руксолитиниб</w:t>
            </w:r>
          </w:p>
          <w:p w:rsidR="00BB6D05" w:rsidRDefault="00BB6D05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Сонидегиб</w:t>
            </w: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3402" w:type="dxa"/>
          </w:tcPr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Бортезомиб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Брентуксимаба ведотин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Бусульфан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Эрлотиниб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Гефитиниб</w:t>
            </w:r>
            <w:r>
              <w:t xml:space="preserve"> </w:t>
            </w:r>
            <w:r w:rsidRPr="0072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max</w:t>
            </w:r>
            <w:r w:rsidRPr="00724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AUC ↑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Иксабепилон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Нинтеданиб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Понабиностат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Понатиниб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Руксолитиниб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724BD2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Сонидегиб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BB6D05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="00BB6D05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5A1A9B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Вандетаниб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BB6D05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↔, 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BB6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</w:tc>
        <w:tc>
          <w:tcPr>
            <w:tcW w:w="3934" w:type="dxa"/>
          </w:tcPr>
          <w:p w:rsidR="005A1A9B" w:rsidRDefault="00724BD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противоопухолевые препараты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про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тивоопухолевого препарата</w:t>
            </w:r>
          </w:p>
        </w:tc>
      </w:tr>
      <w:tr w:rsidR="005A1A9B" w:rsidTr="00E16BD3">
        <w:tc>
          <w:tcPr>
            <w:tcW w:w="2235" w:type="dxa"/>
          </w:tcPr>
          <w:p w:rsidR="005A1A9B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Иделалисиб</w:t>
            </w:r>
          </w:p>
        </w:tc>
        <w:tc>
          <w:tcPr>
            <w:tcW w:w="3402" w:type="dxa"/>
          </w:tcPr>
          <w:p w:rsidR="00BB6D05" w:rsidRDefault="00BB6D05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Иделалисиб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5A1A9B" w:rsidRPr="006105BC" w:rsidRDefault="00BB6D05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 – повышение концентрации </w:t>
            </w:r>
            <w:r w:rsidR="00F10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сыворотке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(степень неизвестна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5A1A9B" w:rsidRDefault="000A056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итраконазол и/или иделалисиб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итраконазол</w:t>
            </w:r>
            <w:r w:rsidR="000A6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и/или иделалисиб</w:t>
            </w:r>
            <w:r w:rsidR="000A6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A1A9B" w:rsidTr="00E16BD3">
        <w:tc>
          <w:tcPr>
            <w:tcW w:w="2235" w:type="dxa"/>
          </w:tcPr>
          <w:p w:rsidR="005A1A9B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Акситиниб</w:t>
            </w:r>
          </w:p>
          <w:p w:rsidR="002243C6" w:rsidRDefault="00F12B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Бозу</w:t>
            </w:r>
            <w:r w:rsidR="0022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тиниб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43C6" w:rsidRDefault="002243C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Кабазитаксел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Кабозантиниб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Церитиниб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Кобиметиниб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Кризотиниб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Дабрафениб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Дазатиниб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Доцетаксел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Ибрутиниб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Лапатиниб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Нилотиниб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Олапариб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Пазопаниб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Сунитиниб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Трабектедин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Трастузумаб</w:t>
            </w:r>
            <w:r w:rsid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мтанзин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Алкалоиды барвинка</w:t>
            </w:r>
          </w:p>
        </w:tc>
        <w:tc>
          <w:tcPr>
            <w:tcW w:w="3402" w:type="dxa"/>
          </w:tcPr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Акситиниб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771DB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Бозу</w:t>
            </w:r>
            <w:r w:rsid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тиниб </w:t>
            </w:r>
            <w:r w:rsid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23693E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(↑↑↑), </w:t>
            </w:r>
            <w:r w:rsid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(↑↑↑)</w:t>
            </w:r>
            <w:r w:rsidR="0023693E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Кабазитаксел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Кабозантиниб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Церитиниб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Кобиметиниб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↑↑↑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Кризотиниб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Дабрафениб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Дазатиниб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Доцетаксел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(↔-↑↑)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Ибрутиниб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Лапатиниб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Нилотиниб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Олапариб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Пазопаниб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Сунитиниб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Трабектедин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Трастузумаб эмтанзин –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5A1A9B" w:rsidRDefault="0023693E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Алкалоиды барвинка –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0A056C" w:rsidRDefault="000A056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екомендуется во время и 2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недели после лечения итраконазолом. Повышен риск появления нежелательных реакций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противоопухолевые препараты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A1A9B" w:rsidRDefault="005A1A9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056C" w:rsidRDefault="000A056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Дополнительно:</w:t>
            </w:r>
          </w:p>
          <w:p w:rsidR="000A056C" w:rsidRDefault="000A056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кабазитаксела, даже если изменения параметров фармакокинетики не достигали статистической значимости в исследовании лекарственного взаимодействия с низкими дозами кетаконазола, наблюдалась высокая вариативность результатов. Для ибрутиниба специфические действия описаны в ин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струкции по применению</w:t>
            </w:r>
          </w:p>
          <w:p w:rsidR="000A056C" w:rsidRDefault="000A056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A9B" w:rsidTr="00E16BD3">
        <w:tc>
          <w:tcPr>
            <w:tcW w:w="2235" w:type="dxa"/>
          </w:tcPr>
          <w:p w:rsidR="005A1A9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3402" w:type="dxa"/>
          </w:tcPr>
          <w:p w:rsidR="005A1A9B" w:rsidRPr="0023693E" w:rsidRDefault="002369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регорафениба (↓↓ по данным для активного компонента)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5A1A9B" w:rsidRDefault="00A7745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во время и 2 </w:t>
            </w:r>
            <w:r w:rsidR="004E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после лечения итраконазолом. Может быть снижена эффектив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регорафениба</w:t>
            </w:r>
          </w:p>
        </w:tc>
      </w:tr>
      <w:tr w:rsidR="005A1A9B" w:rsidTr="00E16BD3">
        <w:tc>
          <w:tcPr>
            <w:tcW w:w="2235" w:type="dxa"/>
          </w:tcPr>
          <w:p w:rsidR="005A1A9B" w:rsidRDefault="00046AC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</w:t>
            </w:r>
            <w:r w:rsidR="004F2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отекан</w:t>
            </w:r>
          </w:p>
        </w:tc>
        <w:tc>
          <w:tcPr>
            <w:tcW w:w="3402" w:type="dxa"/>
          </w:tcPr>
          <w:p w:rsidR="005A1A9B" w:rsidRPr="006105BC" w:rsidRDefault="00046ACD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</w:t>
            </w:r>
            <w:r w:rsid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отекан и его активный метаболит - повышение концентрации (степень неизвестна)</w:t>
            </w:r>
            <w:r w:rsidR="0023693E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 w:rsidR="0023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23693E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5A1A9B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</w:t>
            </w:r>
            <w:r w:rsidR="00046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отекан: потенциально угрожающа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жизни миелосупрессия и диарея</w:t>
            </w:r>
          </w:p>
        </w:tc>
      </w:tr>
      <w:tr w:rsidR="004F260B" w:rsidTr="00E16BD3">
        <w:tc>
          <w:tcPr>
            <w:tcW w:w="9571" w:type="dxa"/>
            <w:gridSpan w:val="3"/>
          </w:tcPr>
          <w:p w:rsidR="004F260B" w:rsidRPr="00E761AC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Антипсихотики, анксиолитики и снотворные средства</w:t>
            </w:r>
          </w:p>
        </w:tc>
      </w:tr>
      <w:tr w:rsidR="005A1A9B" w:rsidTr="00E16BD3">
        <w:tc>
          <w:tcPr>
            <w:tcW w:w="2235" w:type="dxa"/>
          </w:tcPr>
          <w:p w:rsidR="005A1A9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Алпразолам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Арипипразол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Бротизолам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Буспирон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Галоперидол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Мидазолам (в/в)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Пероспирон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Кветиапин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2ED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Рамелтеон</w:t>
            </w: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Рисперидон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Суворексант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60B" w:rsidRDefault="004F260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3402" w:type="dxa"/>
          </w:tcPr>
          <w:p w:rsidR="004E733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Алпразолам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↔,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</w:t>
            </w:r>
          </w:p>
          <w:p w:rsidR="004E733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Арипипразол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  <w:p w:rsidR="004E733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Бротизолам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↔,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</w:t>
            </w:r>
          </w:p>
          <w:p w:rsidR="004E733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Буспирон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↑↑↑↑,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↑↑↑↑</w:t>
            </w:r>
          </w:p>
          <w:p w:rsidR="004E733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Галоперидол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  <w:p w:rsidR="004E733C" w:rsidRPr="00D162ED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Мидазолам (в/в) 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концентрации ↑↑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4E733C" w:rsidRPr="006105B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Пероспирон</w:t>
            </w:r>
            <w:r w:rsidRPr="0061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61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↑↑↑,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61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↑↑↑</w:t>
            </w:r>
          </w:p>
          <w:p w:rsidR="004E733C" w:rsidRPr="00D162ED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Кветиапин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="00D162ED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162ED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4E733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Рамелтеон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D162ED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D162ED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162ED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="00D162ED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D162ED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162ED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="00D162ED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162ED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733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Рисперидон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повышение концентрации ↑</w:t>
            </w:r>
            <w:r w:rsidR="00D162ED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4E733C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Суворексант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D162ED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D162ED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162ED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="00D162ED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D162ED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162ED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D162ED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162ED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5A1A9B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Зопиклон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D162ED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↑, 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</w:tc>
        <w:tc>
          <w:tcPr>
            <w:tcW w:w="3934" w:type="dxa"/>
          </w:tcPr>
          <w:p w:rsidR="005A1A9B" w:rsidRDefault="004E733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а</w:t>
            </w:r>
            <w:r w:rsidRPr="004E7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нтипсихо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тики, анксиолитики и</w:t>
            </w:r>
            <w:r w:rsidR="00C2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снотворные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снижение доз этих препаратов</w:t>
            </w:r>
          </w:p>
        </w:tc>
      </w:tr>
      <w:tr w:rsidR="005A1A9B" w:rsidTr="00E16BD3">
        <w:tc>
          <w:tcPr>
            <w:tcW w:w="2235" w:type="dxa"/>
          </w:tcPr>
          <w:p w:rsidR="005A1A9B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Луразидон</w:t>
            </w:r>
          </w:p>
        </w:tc>
        <w:tc>
          <w:tcPr>
            <w:tcW w:w="3402" w:type="dxa"/>
          </w:tcPr>
          <w:p w:rsidR="00E14CEF" w:rsidRPr="00D162ED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Кветиапин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5A1A9B" w:rsidRDefault="005A1A9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A1A9B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луразидон: гипотензия, циркуляторный  коллапс, тяжелые экстрапирамид</w:t>
            </w:r>
            <w:r w:rsidR="00C2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симптомы, судороги</w:t>
            </w:r>
          </w:p>
        </w:tc>
      </w:tr>
      <w:tr w:rsidR="005A1A9B" w:rsidTr="00E16BD3">
        <w:tc>
          <w:tcPr>
            <w:tcW w:w="2235" w:type="dxa"/>
          </w:tcPr>
          <w:p w:rsidR="005A1A9B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Мидазолам (перорально)</w:t>
            </w:r>
          </w:p>
        </w:tc>
        <w:tc>
          <w:tcPr>
            <w:tcW w:w="3402" w:type="dxa"/>
          </w:tcPr>
          <w:p w:rsidR="00E14CEF" w:rsidRPr="00D162ED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Мидазолам (перорально)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  <w:p w:rsidR="005A1A9B" w:rsidRDefault="005A1A9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A1A9B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мидазолам: угнетение дыхания, остановка сердца, 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пролонгированная седация и кома</w:t>
            </w:r>
          </w:p>
        </w:tc>
      </w:tr>
      <w:tr w:rsidR="00E14CEF" w:rsidTr="00E16BD3">
        <w:tc>
          <w:tcPr>
            <w:tcW w:w="2235" w:type="dxa"/>
          </w:tcPr>
          <w:p w:rsidR="00E14CEF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Пимозид</w:t>
            </w:r>
          </w:p>
        </w:tc>
        <w:tc>
          <w:tcPr>
            <w:tcW w:w="3402" w:type="dxa"/>
          </w:tcPr>
          <w:p w:rsidR="00E14CEF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Пимозид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E14CEF" w:rsidRPr="00E14CEF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пимозид: аритмии сердца, возможно, связанные с пролонгацией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пируэтной тахикардией</w:t>
            </w:r>
          </w:p>
        </w:tc>
      </w:tr>
      <w:tr w:rsidR="00E14CEF" w:rsidTr="00E16BD3">
        <w:tc>
          <w:tcPr>
            <w:tcW w:w="2235" w:type="dxa"/>
          </w:tcPr>
          <w:p w:rsidR="00E14CEF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3402" w:type="dxa"/>
          </w:tcPr>
          <w:p w:rsidR="00E14CEF" w:rsidRDefault="00E14CEF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Сертиндол</w:t>
            </w:r>
            <w:r w:rsidR="0028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E14CEF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сертиндол: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пируэтн</w:t>
            </w:r>
            <w:r w:rsidR="0028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тахикарди</w:t>
            </w:r>
            <w:r w:rsidR="00284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E14CEF" w:rsidTr="00E16BD3">
        <w:tc>
          <w:tcPr>
            <w:tcW w:w="2235" w:type="dxa"/>
          </w:tcPr>
          <w:p w:rsidR="00E14CEF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Тиазолам</w:t>
            </w:r>
          </w:p>
        </w:tc>
        <w:tc>
          <w:tcPr>
            <w:tcW w:w="3402" w:type="dxa"/>
          </w:tcPr>
          <w:p w:rsidR="00AE585C" w:rsidRPr="00D162ED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Тиазолам</w:t>
            </w:r>
            <w:r w:rsidR="00AE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AE585C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AE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585C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="00AE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E585C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AE585C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E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AE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585C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AE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E585C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="00AE585C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AE585C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  <w:p w:rsidR="00E14CEF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E14CEF" w:rsidRDefault="00AE585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тиазолам: судороги, угнетение д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ыхания, ангиоотек, апноэ и кома</w:t>
            </w:r>
          </w:p>
        </w:tc>
      </w:tr>
      <w:tr w:rsidR="00D162ED" w:rsidTr="00E16BD3">
        <w:tc>
          <w:tcPr>
            <w:tcW w:w="9571" w:type="dxa"/>
            <w:gridSpan w:val="3"/>
          </w:tcPr>
          <w:p w:rsidR="00D162ED" w:rsidRPr="00E761AC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Противовирусные средства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Асунапревир (с </w:t>
            </w:r>
            <w:r w:rsidR="00ED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162ED" w:rsidRP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Тенофовира дизопроксила фумарат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TDF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ED567F" w:rsidRDefault="00ED56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Асунапревир (с усилением)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A51DD9" w:rsidP="00A77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Тенофовир</w:t>
            </w:r>
            <w:r w:rsidR="00ED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повышение концентрации (степень неизвестна)</w:t>
            </w:r>
            <w:r w:rsidR="00ED567F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 w:rsidR="00ED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ED567F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D162ED" w:rsidRDefault="000379C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осторожностью;</w:t>
            </w:r>
            <w:r w:rsidR="00AE5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специфические действия описаны в инструкциях по применению про</w:t>
            </w:r>
            <w:r w:rsidR="00A7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тивовирусного препарата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Боцепревир</w:t>
            </w:r>
          </w:p>
        </w:tc>
        <w:tc>
          <w:tcPr>
            <w:tcW w:w="3402" w:type="dxa"/>
          </w:tcPr>
          <w:p w:rsidR="00ED567F" w:rsidRDefault="00ED56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Боцепревир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ED567F" w:rsidRPr="00ED567F" w:rsidRDefault="00ED56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 -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D162ED" w:rsidRDefault="00AE585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итраконазол и/или боцепревир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итраконазола. Специфически</w:t>
            </w:r>
            <w:r w:rsidR="00EA1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действия указаны в инструкции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применению боцепревира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Кобицистат</w:t>
            </w:r>
          </w:p>
        </w:tc>
        <w:tc>
          <w:tcPr>
            <w:tcW w:w="3402" w:type="dxa"/>
          </w:tcPr>
          <w:p w:rsidR="00366733" w:rsidRPr="00ED567F" w:rsidRDefault="0036673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Кобицистат -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D162ED" w:rsidRDefault="00366733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 -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D162ED" w:rsidRDefault="00AE585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</w:t>
            </w:r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итраконазол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</w:t>
            </w:r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Даклатасвир</w:t>
            </w:r>
          </w:p>
          <w:p w:rsidR="00366733" w:rsidRDefault="0036673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Ванипревир</w:t>
            </w:r>
          </w:p>
        </w:tc>
        <w:tc>
          <w:tcPr>
            <w:tcW w:w="3402" w:type="dxa"/>
          </w:tcPr>
          <w:p w:rsidR="00366733" w:rsidRDefault="0036673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Даклатасвир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66733" w:rsidRDefault="0036673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Ванипревир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D162ED" w:rsidRDefault="005139B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д</w:t>
            </w:r>
            <w:r w:rsidRP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аклатасвир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/ванипревир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д</w:t>
            </w:r>
            <w:r w:rsidRP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аклатасвир</w:t>
            </w:r>
            <w:r w:rsidR="004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/ванипревир</w:t>
            </w:r>
            <w:r w:rsidR="004A0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D162ED" w:rsidTr="00E16BD3">
        <w:tc>
          <w:tcPr>
            <w:tcW w:w="2235" w:type="dxa"/>
          </w:tcPr>
          <w:p w:rsidR="00D162ED" w:rsidRDefault="00B377A5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Дару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навир (с уси</w:t>
            </w:r>
            <w:r w:rsidR="0036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</w:t>
            </w:r>
            <w:r w:rsid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ем)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6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осампренавир (с усилени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ритонавиром)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Телапревир</w:t>
            </w:r>
          </w:p>
        </w:tc>
        <w:tc>
          <w:tcPr>
            <w:tcW w:w="3402" w:type="dxa"/>
          </w:tcPr>
          <w:p w:rsidR="00366733" w:rsidRDefault="0036673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Усиленный ритонавиром дарунавир: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итраконазола 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66733" w:rsidRDefault="0036673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Усиленный ритонавиром фосампренавир: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итраконазола 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36673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Телапревир: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итраконазола 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D162ED" w:rsidRDefault="005139B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итраконазол, может потребоваться сниже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дозы итраконазола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Элвитегравир (усиленный)</w:t>
            </w:r>
          </w:p>
        </w:tc>
        <w:tc>
          <w:tcPr>
            <w:tcW w:w="3402" w:type="dxa"/>
          </w:tcPr>
          <w:p w:rsidR="00366733" w:rsidRDefault="0036673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Элвитегравир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366733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 –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D162ED" w:rsidRDefault="005139B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итраконазол и/или элвитегравир (усиленный ритонавиром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Может потребоваться снижение дозы итраконазола; см. инструкцию по примене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элвитегравира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Эфавиренз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3402" w:type="dxa"/>
          </w:tcPr>
          <w:p w:rsidR="005D389A" w:rsidRPr="00E761AC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Эфавиренз: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итраконазола ↓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↓</w:t>
            </w:r>
          </w:p>
          <w:p w:rsidR="00D162ED" w:rsidRDefault="005D389A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Невирапин: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итраконазола ↓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↓↓</w:t>
            </w:r>
          </w:p>
        </w:tc>
        <w:tc>
          <w:tcPr>
            <w:tcW w:w="3934" w:type="dxa"/>
          </w:tcPr>
          <w:p w:rsidR="00D162ED" w:rsidRDefault="00B377A5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</w:t>
            </w:r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2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 </w:t>
            </w:r>
            <w:proofErr w:type="gramStart"/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="00513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лечения итраконазолом. Эффективность итраконазола может быть снижена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Индинавир</w:t>
            </w:r>
          </w:p>
        </w:tc>
        <w:tc>
          <w:tcPr>
            <w:tcW w:w="3402" w:type="dxa"/>
          </w:tcPr>
          <w:p w:rsidR="00D162ED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итраконазола↑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5D389A" w:rsidRPr="005D389A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Индинавир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↔,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</w:p>
        </w:tc>
        <w:tc>
          <w:tcPr>
            <w:tcW w:w="3934" w:type="dxa"/>
          </w:tcPr>
          <w:p w:rsidR="00D162ED" w:rsidRDefault="005139B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</w:t>
            </w:r>
            <w:r w:rsidR="00E8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итраконазол и/или индинавир</w:t>
            </w:r>
            <w:r w:rsidR="00617E30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 w:rsidR="00E8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итра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коназола и/или индинавира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3402" w:type="dxa"/>
          </w:tcPr>
          <w:p w:rsidR="005D389A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Маравирок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D162ED" w:rsidRDefault="00E8318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 осторожностью, наблюдать на предмет появления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нежелательных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реакций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Может потребоваться снижение дозы ма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равирока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3402" w:type="dxa"/>
          </w:tcPr>
          <w:p w:rsidR="005D389A" w:rsidRPr="00E761AC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Ритонавир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(↔),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D162ED" w:rsidRDefault="00E8318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итраконазол и/или ритонавир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Может потребоваться снижение дозы итраконазола. Специфические действия описаны в инструкции по применению ритонавира</w:t>
            </w:r>
          </w:p>
        </w:tc>
      </w:tr>
      <w:tr w:rsidR="00D162ED" w:rsidTr="00E16BD3">
        <w:tc>
          <w:tcPr>
            <w:tcW w:w="2235" w:type="dxa"/>
          </w:tcPr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3402" w:type="dxa"/>
          </w:tcPr>
          <w:p w:rsidR="005D389A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Саквинавир (без усиления)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  <w:p w:rsidR="005D389A" w:rsidRPr="008F2F39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 (с усиленным саквинавиром)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D162ED" w:rsidRDefault="00E8318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итраконазол и/или с</w:t>
            </w:r>
            <w:r w:rsidR="00B7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квинавир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Может потребоваться снижение дозы итраконазола. Специфические действия описаны в инструкции по применению</w:t>
            </w:r>
            <w:r w:rsidR="00B7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саквинавира</w:t>
            </w:r>
          </w:p>
        </w:tc>
      </w:tr>
      <w:tr w:rsidR="00D162ED" w:rsidTr="00E16BD3">
        <w:tc>
          <w:tcPr>
            <w:tcW w:w="2235" w:type="dxa"/>
          </w:tcPr>
          <w:p w:rsidR="00D162ED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Симепревир</w:t>
            </w:r>
          </w:p>
        </w:tc>
        <w:tc>
          <w:tcPr>
            <w:tcW w:w="3402" w:type="dxa"/>
          </w:tcPr>
          <w:p w:rsidR="005D389A" w:rsidRPr="008F2F39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Симепревир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D162ED" w:rsidRDefault="00E8318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рекомендуется во время и </w:t>
            </w:r>
            <w:r w:rsidR="00B7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недель после лечения итра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коназолом</w:t>
            </w:r>
          </w:p>
        </w:tc>
      </w:tr>
      <w:tr w:rsidR="000A2A7F" w:rsidTr="00E16BD3">
        <w:tc>
          <w:tcPr>
            <w:tcW w:w="9571" w:type="dxa"/>
            <w:gridSpan w:val="3"/>
          </w:tcPr>
          <w:p w:rsidR="000A2A7F" w:rsidRPr="00E761AC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Бета-блокаторы</w:t>
            </w:r>
          </w:p>
        </w:tc>
      </w:tr>
      <w:tr w:rsidR="00D162ED" w:rsidTr="00E16BD3">
        <w:tc>
          <w:tcPr>
            <w:tcW w:w="2235" w:type="dxa"/>
          </w:tcPr>
          <w:p w:rsidR="00D162ED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Надолол</w:t>
            </w:r>
          </w:p>
        </w:tc>
        <w:tc>
          <w:tcPr>
            <w:tcW w:w="3402" w:type="dxa"/>
          </w:tcPr>
          <w:p w:rsidR="005D389A" w:rsidRPr="008F2F39" w:rsidRDefault="005D389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Надолол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</w:p>
          <w:p w:rsidR="00D162ED" w:rsidRDefault="00D162E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D162ED" w:rsidRPr="00ED567F" w:rsidRDefault="00E8318A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надолол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 w:rsidR="00ED5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Может потребоваться снижение дозы надолола.</w:t>
            </w:r>
          </w:p>
        </w:tc>
      </w:tr>
      <w:tr w:rsidR="000A2A7F" w:rsidTr="00E16BD3">
        <w:tc>
          <w:tcPr>
            <w:tcW w:w="9571" w:type="dxa"/>
            <w:gridSpan w:val="3"/>
          </w:tcPr>
          <w:p w:rsidR="000A2A7F" w:rsidRPr="00E761AC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</w:tr>
      <w:tr w:rsidR="006105BC" w:rsidTr="00E16BD3">
        <w:tc>
          <w:tcPr>
            <w:tcW w:w="2235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Бепридил</w:t>
            </w:r>
          </w:p>
        </w:tc>
        <w:tc>
          <w:tcPr>
            <w:tcW w:w="3402" w:type="dxa"/>
          </w:tcPr>
          <w:p w:rsidR="006105BC" w:rsidRPr="00ED567F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Бепридил</w:t>
            </w:r>
            <w:r w:rsidR="00B7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бепридил, таких как новая аритмия и желудочковая тахикардия по типу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руэтной</w:t>
            </w:r>
            <w:proofErr w:type="gramEnd"/>
          </w:p>
        </w:tc>
      </w:tr>
      <w:tr w:rsidR="006105BC" w:rsidTr="00E16BD3">
        <w:tc>
          <w:tcPr>
            <w:tcW w:w="2235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Дилтиазем</w:t>
            </w:r>
          </w:p>
        </w:tc>
        <w:tc>
          <w:tcPr>
            <w:tcW w:w="3402" w:type="dxa"/>
          </w:tcPr>
          <w:p w:rsidR="006105BC" w:rsidRDefault="006105BC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Дилтиазем и итраконазол</w:t>
            </w:r>
            <w:r w:rsidR="00B7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итраконазол и/или дилтиазем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1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ожет потребоваться снижение дозы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итраконазола и/или дилтиазема</w:t>
            </w:r>
          </w:p>
        </w:tc>
      </w:tr>
      <w:tr w:rsidR="006105BC" w:rsidTr="00E16BD3">
        <w:tc>
          <w:tcPr>
            <w:tcW w:w="2235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Фелодипин</w:t>
            </w:r>
          </w:p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Лерканидипин</w:t>
            </w:r>
          </w:p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Нисолдипин</w:t>
            </w:r>
          </w:p>
        </w:tc>
        <w:tc>
          <w:tcPr>
            <w:tcW w:w="3402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Фелодипин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</w:p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Лерканидипин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Нисолдипин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</w:t>
            </w:r>
            <w:r w:rsidR="00DD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дигидропиридины; гипотензия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перифе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рический отек</w:t>
            </w:r>
          </w:p>
        </w:tc>
      </w:tr>
      <w:tr w:rsidR="006105BC" w:rsidTr="00E16BD3">
        <w:tc>
          <w:tcPr>
            <w:tcW w:w="2235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дигидропиридины</w:t>
            </w:r>
          </w:p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3402" w:type="dxa"/>
          </w:tcPr>
          <w:p w:rsidR="006105BC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1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игидропиридины</w:t>
            </w:r>
            <w:r w:rsidR="00B7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6105BC" w:rsidRDefault="006105BC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Верапамил</w:t>
            </w:r>
            <w:r w:rsidR="00B71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52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концентрации (степень неизвестна)</w:t>
            </w:r>
            <w:r w:rsidR="00520E23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 w:rsidR="0052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520E23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6105BC" w:rsidRDefault="006105B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дигидропиридины/верапамил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="0019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потребоваться снижение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дигидро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пиридинов/верапамила</w:t>
            </w:r>
          </w:p>
        </w:tc>
      </w:tr>
      <w:tr w:rsidR="000A2A7F" w:rsidTr="00E16BD3">
        <w:tc>
          <w:tcPr>
            <w:tcW w:w="9571" w:type="dxa"/>
            <w:gridSpan w:val="3"/>
          </w:tcPr>
          <w:p w:rsidR="000A2A7F" w:rsidRPr="00E761AC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Различные средства для лечения за</w:t>
            </w:r>
            <w:r w:rsidR="00B71E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олеваний </w:t>
            </w:r>
            <w:proofErr w:type="gramStart"/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системы</w:t>
            </w:r>
          </w:p>
        </w:tc>
      </w:tr>
      <w:tr w:rsidR="00D162ED" w:rsidTr="00E16BD3">
        <w:tc>
          <w:tcPr>
            <w:tcW w:w="2235" w:type="dxa"/>
          </w:tcPr>
          <w:p w:rsidR="00D162ED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Алискирен</w:t>
            </w:r>
          </w:p>
          <w:p w:rsidR="000A2A7F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Риоцигулат</w:t>
            </w:r>
          </w:p>
          <w:p w:rsidR="000A2A7F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Силденафил (для лечения легочной гипертензии)</w:t>
            </w:r>
          </w:p>
          <w:p w:rsidR="000A2A7F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Тадалафил (для лечения легочной гипертензии)</w:t>
            </w:r>
          </w:p>
        </w:tc>
        <w:tc>
          <w:tcPr>
            <w:tcW w:w="3402" w:type="dxa"/>
          </w:tcPr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Алискирен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</w:p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Риоцигулат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520E23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Силденафил/тадалафил - повышение концентрации (степень неизвестна, но эффект может быть более выраженным, чем сообщено для урологических средств)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D162ED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рекомендуется во время и </w:t>
            </w:r>
            <w:r w:rsidR="00B5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недель после лечения итраконазолом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Повышен риск появления нежелательных реакций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дечно-сосудистый</w:t>
            </w:r>
            <w:proofErr w:type="gramEnd"/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</w:t>
            </w:r>
          </w:p>
        </w:tc>
      </w:tr>
      <w:tr w:rsidR="00D162ED" w:rsidTr="00E16BD3">
        <w:tc>
          <w:tcPr>
            <w:tcW w:w="2235" w:type="dxa"/>
          </w:tcPr>
          <w:p w:rsidR="00D162ED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Бозентан</w:t>
            </w:r>
          </w:p>
          <w:p w:rsidR="000A2A7F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Гуанфацин</w:t>
            </w:r>
          </w:p>
        </w:tc>
        <w:tc>
          <w:tcPr>
            <w:tcW w:w="3402" w:type="dxa"/>
          </w:tcPr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Бозентан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Гуанфацин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D162ED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бозентан/гуанфацин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610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потребоваться снижение дозы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бозента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на/гуанфацина</w:t>
            </w:r>
          </w:p>
        </w:tc>
      </w:tr>
      <w:tr w:rsidR="00520E23" w:rsidTr="00E16BD3">
        <w:tc>
          <w:tcPr>
            <w:tcW w:w="2235" w:type="dxa"/>
          </w:tcPr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3402" w:type="dxa"/>
          </w:tcPr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Ивабрадин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2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ивабрадин, таких как фибрилляция предсердий, брадикардия, синусовая ос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тановка сердца и блокада сердца</w:t>
            </w:r>
          </w:p>
        </w:tc>
      </w:tr>
      <w:tr w:rsidR="00520E23" w:rsidTr="00E16BD3">
        <w:tc>
          <w:tcPr>
            <w:tcW w:w="2235" w:type="dxa"/>
          </w:tcPr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Ранолазин</w:t>
            </w:r>
          </w:p>
        </w:tc>
        <w:tc>
          <w:tcPr>
            <w:tcW w:w="3402" w:type="dxa"/>
          </w:tcPr>
          <w:p w:rsid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Ранолазин</w:t>
            </w:r>
            <w:r w:rsidR="0062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621CB6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62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21CB6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62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21CB6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2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62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="00621CB6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520E23" w:rsidRPr="00520E23" w:rsidRDefault="00520E2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ранолазин, таких как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почечная недостаточ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</w:tr>
      <w:tr w:rsidR="000A2A7F" w:rsidTr="00E16BD3">
        <w:tc>
          <w:tcPr>
            <w:tcW w:w="9571" w:type="dxa"/>
            <w:gridSpan w:val="3"/>
          </w:tcPr>
          <w:p w:rsidR="000A2A7F" w:rsidRPr="00E761AC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Контрацептивные средства</w:t>
            </w:r>
          </w:p>
        </w:tc>
      </w:tr>
      <w:tr w:rsidR="00D162ED" w:rsidTr="00E16BD3">
        <w:tc>
          <w:tcPr>
            <w:tcW w:w="2235" w:type="dxa"/>
          </w:tcPr>
          <w:p w:rsidR="00D162ED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Диеногест</w:t>
            </w:r>
          </w:p>
          <w:p w:rsidR="000A2A7F" w:rsidRDefault="000A2A7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Улипристал</w:t>
            </w:r>
          </w:p>
        </w:tc>
        <w:tc>
          <w:tcPr>
            <w:tcW w:w="3402" w:type="dxa"/>
          </w:tcPr>
          <w:p w:rsidR="00621CB6" w:rsidRDefault="00621CB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Диеногест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162ED" w:rsidRDefault="00621CB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Улипристал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D162ED" w:rsidRPr="00621CB6" w:rsidRDefault="00621CB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к</w:t>
            </w:r>
            <w:r w:rsidRPr="0062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онтрацептивные средства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специфические действия указаны в инструкциях по применению диеноге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ста/улипристала</w:t>
            </w:r>
          </w:p>
        </w:tc>
      </w:tr>
      <w:tr w:rsidR="000A2A7F" w:rsidTr="00E16BD3">
        <w:tc>
          <w:tcPr>
            <w:tcW w:w="9571" w:type="dxa"/>
            <w:gridSpan w:val="3"/>
          </w:tcPr>
          <w:p w:rsidR="000A2A7F" w:rsidRPr="00E761AC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Диуретики</w:t>
            </w:r>
          </w:p>
        </w:tc>
      </w:tr>
      <w:tr w:rsidR="00D162ED" w:rsidTr="00E16BD3">
        <w:tc>
          <w:tcPr>
            <w:tcW w:w="2235" w:type="dxa"/>
          </w:tcPr>
          <w:p w:rsidR="00D162ED" w:rsidRDefault="00E14C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Эплеренон</w:t>
            </w:r>
          </w:p>
        </w:tc>
        <w:tc>
          <w:tcPr>
            <w:tcW w:w="3402" w:type="dxa"/>
          </w:tcPr>
          <w:p w:rsidR="00D162ED" w:rsidRDefault="00621CB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Эплеренон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D162ED" w:rsidRDefault="00621CB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эплеренон, таких как гиперкалиемия и ги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потензия</w:t>
            </w:r>
          </w:p>
        </w:tc>
      </w:tr>
      <w:tr w:rsidR="00621CB6" w:rsidTr="00E16BD3">
        <w:tc>
          <w:tcPr>
            <w:tcW w:w="9571" w:type="dxa"/>
            <w:gridSpan w:val="3"/>
          </w:tcPr>
          <w:p w:rsidR="00621CB6" w:rsidRPr="00E761AC" w:rsidRDefault="00621CB6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Желудочно-кишечные средства</w:t>
            </w:r>
          </w:p>
        </w:tc>
      </w:tr>
      <w:tr w:rsidR="00C964CC" w:rsidTr="00E16BD3">
        <w:tc>
          <w:tcPr>
            <w:tcW w:w="2235" w:type="dxa"/>
          </w:tcPr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Апрепитант</w:t>
            </w:r>
          </w:p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Лоперамид</w:t>
            </w:r>
          </w:p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Нетупитант</w:t>
            </w:r>
          </w:p>
        </w:tc>
        <w:tc>
          <w:tcPr>
            <w:tcW w:w="3402" w:type="dxa"/>
          </w:tcPr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Апрепитант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Лоперамид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Нетупитант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апрепитант/лоперамид/нетупитант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апрепитанта/лоперамида. Специфические действия для нетупи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танта представлены в инструкции</w:t>
            </w:r>
          </w:p>
        </w:tc>
      </w:tr>
      <w:tr w:rsidR="00C964CC" w:rsidTr="00E16BD3">
        <w:tc>
          <w:tcPr>
            <w:tcW w:w="2235" w:type="dxa"/>
          </w:tcPr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52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заприд</w:t>
            </w:r>
          </w:p>
        </w:tc>
        <w:tc>
          <w:tcPr>
            <w:tcW w:w="3402" w:type="dxa"/>
          </w:tcPr>
          <w:p w:rsidR="00C964CC" w:rsidRDefault="00C964CC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52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заприд -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C964CC" w:rsidRP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ц</w:t>
            </w:r>
            <w:r w:rsidR="00524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заприд, таких как тяжелые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сердечно-сосудистые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явления, включая пролонгацию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серьезные желудочковые аритмии и пируэт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тахикардию</w:t>
            </w:r>
          </w:p>
        </w:tc>
      </w:tr>
      <w:tr w:rsidR="009B44A4" w:rsidTr="00E16BD3">
        <w:tc>
          <w:tcPr>
            <w:tcW w:w="2235" w:type="dxa"/>
          </w:tcPr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Домперидон</w:t>
            </w:r>
          </w:p>
        </w:tc>
        <w:tc>
          <w:tcPr>
            <w:tcW w:w="3402" w:type="dxa"/>
          </w:tcPr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Домперидон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</w:t>
            </w:r>
          </w:p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домперидон, таких как тяжелые желудочковые аритмии и внезапная сердеч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смерть</w:t>
            </w:r>
          </w:p>
        </w:tc>
      </w:tr>
      <w:tr w:rsidR="009B44A4" w:rsidTr="00E16BD3">
        <w:tc>
          <w:tcPr>
            <w:tcW w:w="2235" w:type="dxa"/>
          </w:tcPr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для снижения кислотности желудка</w:t>
            </w:r>
          </w:p>
        </w:tc>
        <w:tc>
          <w:tcPr>
            <w:tcW w:w="3402" w:type="dxa"/>
          </w:tcPr>
          <w:p w:rsidR="009B44A4" w:rsidRDefault="00F05F97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</w:t>
            </w:r>
            <w:r w:rsidR="0064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9B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9B44A4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9B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↓↓</w:t>
            </w:r>
            <w:r w:rsidR="009B44A4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B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9B4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↓↓</w:t>
            </w:r>
          </w:p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</w:t>
            </w:r>
            <w:r w:rsidR="005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снижающие кислотность желудка, например такие нейтрализующие кислоту средстве, как алюминия гидроксид, или подавляющие выработку кислоты препараты, например антагонисты Н</w:t>
            </w:r>
            <w:r w:rsidR="005A6345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="005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-рецепторов и ингибиторы протонной помпы.</w:t>
            </w:r>
            <w:proofErr w:type="gramEnd"/>
            <w:r w:rsidR="005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одновременном лечении нейтрализующими кислоту средствами, например алюминия гидроксидом, их следует </w:t>
            </w:r>
            <w:proofErr w:type="gramStart"/>
            <w:r w:rsidR="005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</w:t>
            </w:r>
            <w:proofErr w:type="gramEnd"/>
            <w:r w:rsidR="005A6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крайней мере за 2 часа до или через 2 часа после приема капсул итраконазола (см. «Особые указа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ния»)</w:t>
            </w:r>
          </w:p>
        </w:tc>
      </w:tr>
      <w:tr w:rsidR="009B44A4" w:rsidTr="00E16BD3">
        <w:tc>
          <w:tcPr>
            <w:tcW w:w="2235" w:type="dxa"/>
          </w:tcPr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Налоксегол</w:t>
            </w:r>
          </w:p>
        </w:tc>
        <w:tc>
          <w:tcPr>
            <w:tcW w:w="3402" w:type="dxa"/>
          </w:tcPr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Налоксегол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9B44A4" w:rsidRDefault="005A6345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появления нежелательных реакций на налоксегол, так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как симптомы отмены опиоидов</w:t>
            </w:r>
          </w:p>
        </w:tc>
      </w:tr>
      <w:tr w:rsidR="00C964CC" w:rsidTr="00E16BD3">
        <w:tc>
          <w:tcPr>
            <w:tcW w:w="2235" w:type="dxa"/>
          </w:tcPr>
          <w:p w:rsidR="00C964CC" w:rsidRPr="00E761AC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Saccharomyces boulardii</w:t>
            </w:r>
          </w:p>
        </w:tc>
        <w:tc>
          <w:tcPr>
            <w:tcW w:w="3402" w:type="dxa"/>
          </w:tcPr>
          <w:p w:rsidR="00C964CC" w:rsidRPr="009B44A4" w:rsidRDefault="009B44A4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00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boulardii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снижение колонизации (степень неизвестна)</w:t>
            </w:r>
          </w:p>
        </w:tc>
        <w:tc>
          <w:tcPr>
            <w:tcW w:w="3934" w:type="dxa"/>
          </w:tcPr>
          <w:p w:rsidR="00C964CC" w:rsidRDefault="005A6345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во время и 2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недели после лечения итраконазолом. Эффективность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boulardii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снижена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6345" w:rsidTr="00E16BD3">
        <w:tc>
          <w:tcPr>
            <w:tcW w:w="9571" w:type="dxa"/>
            <w:gridSpan w:val="3"/>
          </w:tcPr>
          <w:p w:rsidR="005A6345" w:rsidRPr="00E761AC" w:rsidRDefault="005A6345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Иммуносупрессоры</w:t>
            </w:r>
          </w:p>
        </w:tc>
      </w:tr>
      <w:tr w:rsidR="003C3BB3" w:rsidTr="00E16BD3">
        <w:tc>
          <w:tcPr>
            <w:tcW w:w="2235" w:type="dxa"/>
          </w:tcPr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Будесонид</w:t>
            </w: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Циклесонид</w:t>
            </w: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Циклоспорин</w:t>
            </w: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Дексаметазон</w:t>
            </w: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Флутиказон</w:t>
            </w: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Метилпреднизолон</w:t>
            </w: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4F6" w:rsidRDefault="003004F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Такролимус</w:t>
            </w: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4F6" w:rsidRDefault="003004F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1FB9" w:rsidRDefault="00641FB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Темсиролимус</w:t>
            </w: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C3BB3" w:rsidRPr="00E937EA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Будесонид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ингаляций) 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5913EF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  <w:r w:rsidR="005913EF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13EF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будесонид (другие формы) – повышение концентрации (степень неизвестна)</w:t>
            </w:r>
            <w:r w:rsidR="005913EF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5913EF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Циклесонид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ингаляций) 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5913EF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="005913EF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913EF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913EF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C3BB3" w:rsidRPr="00E761AC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Циклоспорин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(в/в) – повышение концентрации ↔ - </w:t>
            </w:r>
            <w:r w:rsidR="005913EF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="005913EF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5913EF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3C3BB3" w:rsidRP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Циклоспорин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(другие формы) – повышение концентрации (степень неизвестна)</w:t>
            </w:r>
            <w:r w:rsidR="005913EF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="005913EF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3C3BB3" w:rsidRPr="00E761AC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Дексаметазон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↔ (в/в) ↑ (перорально)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↑↑ </w:t>
            </w:r>
            <w:r w:rsid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(в/в, перорально)</w:t>
            </w:r>
          </w:p>
          <w:p w:rsidR="003C3BB3" w:rsidRP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Флутиказон (для ингаляций)</w:t>
            </w:r>
            <w:r w:rsidR="00300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концентрации 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3C3BB3" w:rsidRP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Флутиказон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(назальная форма)</w:t>
            </w:r>
            <w:r w:rsidR="00300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концентрации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3C3BB3" w:rsidRPr="00E761AC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Метилпреднизолон (перорально)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↑-↑↑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Метилпреднизолон (в/в)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</w:p>
          <w:p w:rsidR="003C3BB3" w:rsidRP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Такролимус (в/в) повышение концентрации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3C3BB3" w:rsidRPr="00E761AC" w:rsidRDefault="00EE76E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Такролимус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(перорально) 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3C3BB3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="003C3BB3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C3BB3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C3BB3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Темсиролимус (в/в)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3C3BB3" w:rsidRDefault="005913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</w:t>
            </w:r>
            <w:r w:rsidRP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ммуносупрессоры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и</w:t>
            </w:r>
            <w:r w:rsidRPr="00591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ммуносупрессор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C3BB3" w:rsidTr="00E16BD3">
        <w:tc>
          <w:tcPr>
            <w:tcW w:w="2235" w:type="dxa"/>
          </w:tcPr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Эверолимус</w:t>
            </w:r>
          </w:p>
          <w:p w:rsidR="00F55071" w:rsidRDefault="00F5507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Сиролимус (рапамицин)</w:t>
            </w:r>
          </w:p>
        </w:tc>
        <w:tc>
          <w:tcPr>
            <w:tcW w:w="3402" w:type="dxa"/>
          </w:tcPr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Эверолимус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C3BB3" w:rsidRDefault="00F5507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Сиролимус 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3C3BB3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="003C3BB3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C3BB3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 w:rsidR="003C3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C3BB3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3C3BB3" w:rsidRDefault="003C3BB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рекомендуется во время и </w:t>
            </w:r>
            <w:r w:rsidR="00F5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лечения итраконазолом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Повышен риск появления нежелательных реакций на эве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ролимус/сиролимус</w:t>
            </w:r>
          </w:p>
        </w:tc>
      </w:tr>
      <w:tr w:rsidR="005913EF" w:rsidTr="00E16BD3">
        <w:tc>
          <w:tcPr>
            <w:tcW w:w="9571" w:type="dxa"/>
            <w:gridSpan w:val="3"/>
          </w:tcPr>
          <w:p w:rsidR="005913EF" w:rsidRPr="00E761AC" w:rsidRDefault="005913E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Препараты, регулирующие уровни липидов</w:t>
            </w:r>
          </w:p>
        </w:tc>
      </w:tr>
      <w:tr w:rsidR="005D5A3E" w:rsidTr="00E16BD3">
        <w:tc>
          <w:tcPr>
            <w:tcW w:w="2235" w:type="dxa"/>
          </w:tcPr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3402" w:type="dxa"/>
          </w:tcPr>
          <w:p w:rsidR="005D5A3E" w:rsidRPr="008940A0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Аторвастатин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↔-↑↑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</w:p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</w:t>
            </w:r>
            <w:r w:rsidRPr="00300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появления нежелательных реакций на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04F6" w:rsidRPr="007D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="00300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орвастатин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таких как миопатия, рабдомиолиз</w:t>
            </w:r>
            <w:r w:rsidR="00FE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отклонения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п</w:t>
            </w:r>
            <w:r w:rsidR="007D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раметров функции печени</w:t>
            </w:r>
          </w:p>
        </w:tc>
      </w:tr>
      <w:tr w:rsidR="005D5A3E" w:rsidTr="00E16BD3">
        <w:tc>
          <w:tcPr>
            <w:tcW w:w="2235" w:type="dxa"/>
          </w:tcPr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Ломитапид</w:t>
            </w:r>
          </w:p>
        </w:tc>
        <w:tc>
          <w:tcPr>
            <w:tcW w:w="3402" w:type="dxa"/>
          </w:tcPr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Ломитапид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</w:t>
            </w:r>
            <w:r w:rsidRPr="005D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итраконазолом. Повышен риск 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появления нежелательных реакций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ломитапид, таких как печеночная токсичность</w:t>
            </w:r>
            <w:r w:rsidR="007D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тяж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елая желудочно-кишечная реакция</w:t>
            </w:r>
          </w:p>
        </w:tc>
      </w:tr>
      <w:tr w:rsidR="005D5A3E" w:rsidTr="00E16BD3">
        <w:tc>
          <w:tcPr>
            <w:tcW w:w="2235" w:type="dxa"/>
          </w:tcPr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Ловастатин</w:t>
            </w:r>
          </w:p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3402" w:type="dxa"/>
          </w:tcPr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Ловастатин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</w:p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Симвастатин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↑↑↑↑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</w:p>
        </w:tc>
        <w:tc>
          <w:tcPr>
            <w:tcW w:w="3934" w:type="dxa"/>
          </w:tcPr>
          <w:p w:rsidR="005D5A3E" w:rsidRDefault="00333F4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итраконазолом. Повышен риск </w:t>
            </w:r>
            <w:r w:rsidRPr="007D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появления нежелательных реакций на ловастатин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/симвастатин</w:t>
            </w:r>
            <w:r w:rsidRPr="007D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ких как миопатия, рабдомиолиз и отклонения лабораторных п</w:t>
            </w:r>
            <w:r w:rsidR="007D2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раметров функции печени</w:t>
            </w:r>
          </w:p>
        </w:tc>
      </w:tr>
      <w:tr w:rsidR="005913EF" w:rsidTr="00E16BD3">
        <w:tc>
          <w:tcPr>
            <w:tcW w:w="9571" w:type="dxa"/>
            <w:gridSpan w:val="3"/>
          </w:tcPr>
          <w:p w:rsidR="005913EF" w:rsidRPr="00E761AC" w:rsidRDefault="005913E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Нестероидные противовоспалительные средства</w:t>
            </w:r>
          </w:p>
        </w:tc>
      </w:tr>
      <w:tr w:rsidR="00C964CC" w:rsidTr="00E16BD3">
        <w:tc>
          <w:tcPr>
            <w:tcW w:w="2235" w:type="dxa"/>
          </w:tcPr>
          <w:p w:rsidR="00C964CC" w:rsidRDefault="005913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Мелоксикам</w:t>
            </w:r>
          </w:p>
        </w:tc>
        <w:tc>
          <w:tcPr>
            <w:tcW w:w="3402" w:type="dxa"/>
          </w:tcPr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Мелоксикам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↓↓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↓</w:t>
            </w:r>
          </w:p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C964CC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снижения эффективности мелоксикама, может потребоваться коррекция дозы мелоксикама</w:t>
            </w:r>
          </w:p>
        </w:tc>
      </w:tr>
      <w:tr w:rsidR="005913EF" w:rsidTr="00E16BD3">
        <w:tc>
          <w:tcPr>
            <w:tcW w:w="9571" w:type="dxa"/>
            <w:gridSpan w:val="3"/>
          </w:tcPr>
          <w:p w:rsidR="005913EF" w:rsidRPr="00E761AC" w:rsidRDefault="005913E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Респираторные средства</w:t>
            </w:r>
          </w:p>
        </w:tc>
      </w:tr>
      <w:tr w:rsidR="00C964CC" w:rsidTr="00E16BD3">
        <w:tc>
          <w:tcPr>
            <w:tcW w:w="2235" w:type="dxa"/>
          </w:tcPr>
          <w:p w:rsidR="00C964CC" w:rsidRDefault="005913EF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Салметерол</w:t>
            </w:r>
          </w:p>
        </w:tc>
        <w:tc>
          <w:tcPr>
            <w:tcW w:w="3402" w:type="dxa"/>
          </w:tcPr>
          <w:p w:rsidR="00C964CC" w:rsidRDefault="00AA4917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Салметерол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C964CC" w:rsidRDefault="00461F2D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во время и 2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после лечения итраконазолом. Повышен риск появления нежелательных реакций на салметерол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5913EF" w:rsidTr="00E16BD3">
        <w:tc>
          <w:tcPr>
            <w:tcW w:w="9571" w:type="dxa"/>
            <w:gridSpan w:val="3"/>
          </w:tcPr>
          <w:p w:rsidR="005913EF" w:rsidRPr="00E761AC" w:rsidRDefault="005913EF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Селективные ингибиторы обратного захвата серотонина, трициклические и другие антидепрессанты</w:t>
            </w:r>
          </w:p>
        </w:tc>
      </w:tr>
      <w:tr w:rsidR="00C964CC" w:rsidTr="00E16BD3">
        <w:tc>
          <w:tcPr>
            <w:tcW w:w="2235" w:type="dxa"/>
          </w:tcPr>
          <w:p w:rsidR="00C964CC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Ребоксетин</w:t>
            </w:r>
          </w:p>
          <w:p w:rsidR="005D5A3E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Венлафаксин</w:t>
            </w:r>
          </w:p>
        </w:tc>
        <w:tc>
          <w:tcPr>
            <w:tcW w:w="3402" w:type="dxa"/>
          </w:tcPr>
          <w:p w:rsidR="00241759" w:rsidRDefault="0024175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Ребоксетин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C964CC" w:rsidRDefault="0024175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Венлафаксин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C964CC" w:rsidRDefault="0024175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ребоксетин/венлафаксин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 ребоксети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на/венлафаксина</w:t>
            </w:r>
          </w:p>
        </w:tc>
      </w:tr>
      <w:tr w:rsidR="005D5A3E" w:rsidTr="00E16BD3">
        <w:tc>
          <w:tcPr>
            <w:tcW w:w="9571" w:type="dxa"/>
            <w:gridSpan w:val="3"/>
          </w:tcPr>
          <w:p w:rsidR="005D5A3E" w:rsidRPr="00E761AC" w:rsidRDefault="005D5A3E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Урологические препараты</w:t>
            </w:r>
          </w:p>
        </w:tc>
      </w:tr>
      <w:tr w:rsidR="00311938" w:rsidTr="00E16BD3">
        <w:tc>
          <w:tcPr>
            <w:tcW w:w="2235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Аванафил</w:t>
            </w:r>
          </w:p>
        </w:tc>
        <w:tc>
          <w:tcPr>
            <w:tcW w:w="3402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Аванафил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</w:t>
            </w:r>
            <w:r w:rsidRPr="005D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итраконазолом. Повышен риск 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появления нежелательных реакций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аванафил</w:t>
            </w:r>
            <w:r w:rsidRPr="005D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таких как</w:t>
            </w:r>
            <w:r w:rsidRPr="0046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приапизм, нарушения зрения и внезапная потеря слу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</w:p>
        </w:tc>
      </w:tr>
      <w:tr w:rsidR="00311938" w:rsidTr="00E16BD3">
        <w:tc>
          <w:tcPr>
            <w:tcW w:w="2235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Дапоксетин</w:t>
            </w:r>
          </w:p>
        </w:tc>
        <w:tc>
          <w:tcPr>
            <w:tcW w:w="3402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Дапоксетин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и в течение 2 недель после лечения </w:t>
            </w:r>
            <w:r w:rsidRPr="005D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итраконазолом. Повышен риск 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появления нежелательных реакций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дапоксетин</w:t>
            </w:r>
            <w:r w:rsidRPr="005D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таких как</w:t>
            </w:r>
            <w:r w:rsidRPr="0046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ортостатическая 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гипотензия и визуальные эффекты</w:t>
            </w:r>
          </w:p>
        </w:tc>
      </w:tr>
      <w:tr w:rsidR="00311938" w:rsidTr="00E16BD3">
        <w:tc>
          <w:tcPr>
            <w:tcW w:w="2235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Дарифенацин</w:t>
            </w:r>
          </w:p>
          <w:p w:rsidR="00DD1CDD" w:rsidRDefault="00DD1CDD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Варденафил</w:t>
            </w:r>
          </w:p>
        </w:tc>
        <w:tc>
          <w:tcPr>
            <w:tcW w:w="3402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Дарифенацин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Варденафил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рекомендуется во время и 2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после лечения итраконазолом. Повышен риск появления нежелательных реакций на дарифенацин/варденафил</w:t>
            </w:r>
            <w:r w:rsidR="00DD1CDD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311938" w:rsidTr="00E16BD3">
        <w:tc>
          <w:tcPr>
            <w:tcW w:w="2235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Дутастерид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Имидафенацин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Оксибутинин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Силденафил (эректильная дисфункция)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Тадалафил (эректильная дисфункция и доброкачественная гиперплазия предстательной железы)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Толтеродин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Уденафил</w:t>
            </w:r>
          </w:p>
        </w:tc>
        <w:tc>
          <w:tcPr>
            <w:tcW w:w="3402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Дутастерид –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Имидафенацин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Оксибутинин – повышение концентрации ↑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Силденафил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8D071C" w:rsidRDefault="008D071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Тадалафил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8D071C" w:rsidRDefault="008D071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71C" w:rsidRDefault="008D071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71C" w:rsidRDefault="008D071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71C" w:rsidRDefault="008D071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71C" w:rsidRDefault="008D071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046" w:rsidRDefault="00B8104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Толтеродин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(↑-↑↑)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лиц со слабым метаболизмом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CYP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Уденафил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урологические препараты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</w:t>
            </w:r>
            <w:r w:rsidR="003B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урологического препарата.</w:t>
            </w:r>
            <w:r w:rsidR="00A02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пецифические действия по дутастериду указаны в инструкции по его применению.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силденафила и тадалафила см.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раздел «Особые указания»</w:t>
            </w:r>
          </w:p>
        </w:tc>
      </w:tr>
      <w:tr w:rsidR="00311938" w:rsidTr="00E16BD3">
        <w:tc>
          <w:tcPr>
            <w:tcW w:w="2235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Фезотеродин</w:t>
            </w:r>
          </w:p>
        </w:tc>
        <w:tc>
          <w:tcPr>
            <w:tcW w:w="3402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Фезотеродин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FD2CF1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пациентам с нарушением </w:t>
            </w:r>
            <w:r w:rsidR="00FD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 и</w:t>
            </w:r>
            <w:r w:rsidR="00FD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почек</w:t>
            </w:r>
            <w:r w:rsidR="00FD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средней до тяжелой степени тяжести во время и в течение 2 недель после лечения итраконазолом. Повышен риск появления нежелательных реакций на фезотеродин, таких как тяжелые антихоли</w:t>
            </w:r>
            <w:r w:rsidR="0085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D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еэргические эффекты.</w:t>
            </w:r>
          </w:p>
          <w:p w:rsidR="00311938" w:rsidRDefault="00FD7487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</w:t>
            </w:r>
            <w:r w:rsidR="006C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сторожностью у других пациентов</w:t>
            </w:r>
            <w:r w:rsidR="003B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наблюдать на предмет появления нежелательных реакций на фезотеродин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фезоте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</w:tr>
      <w:tr w:rsidR="00311938" w:rsidTr="00E16BD3">
        <w:tc>
          <w:tcPr>
            <w:tcW w:w="2235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3402" w:type="dxa"/>
          </w:tcPr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Солифенацин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FD7487" w:rsidRDefault="00FD7487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пациентам с нарушением функции почек тяжелой степени или с нарушением функции печени от средней тяжести до тяжелой степени во время и в течение 2 недель после лечения итраконазолом. Повышен риск появления нежелательных реакций на солифенацин: антихоли</w:t>
            </w:r>
            <w:r w:rsidR="003B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ргические эффекты и пролонгация интервала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1938" w:rsidRDefault="00FD7487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 у других пациентов: наблюдать на предмет появления нежелательных реакций на солифенацин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соли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фенацина</w:t>
            </w:r>
          </w:p>
        </w:tc>
      </w:tr>
      <w:tr w:rsidR="00311938" w:rsidTr="00E16BD3">
        <w:tc>
          <w:tcPr>
            <w:tcW w:w="9571" w:type="dxa"/>
            <w:gridSpan w:val="3"/>
          </w:tcPr>
          <w:p w:rsidR="00311938" w:rsidRPr="00E761AC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Другие препараты и лекарственные средства</w:t>
            </w:r>
          </w:p>
        </w:tc>
      </w:tr>
      <w:tr w:rsidR="00C964CC" w:rsidTr="00E16BD3">
        <w:tc>
          <w:tcPr>
            <w:tcW w:w="2235" w:type="dxa"/>
          </w:tcPr>
          <w:p w:rsidR="00C964CC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Алитритиноин (перорально)</w:t>
            </w: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Каберголин</w:t>
            </w:r>
          </w:p>
          <w:p w:rsidR="00BF40C9" w:rsidRDefault="00BF40C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Каннабиоиды</w:t>
            </w:r>
          </w:p>
          <w:p w:rsidR="00BF40C9" w:rsidRDefault="00BF40C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0C9" w:rsidRDefault="00BF40C9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938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Цинакалцет</w:t>
            </w:r>
          </w:p>
        </w:tc>
        <w:tc>
          <w:tcPr>
            <w:tcW w:w="3402" w:type="dxa"/>
          </w:tcPr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Алитритиноин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(↑)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Каберголин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Каннабиоиды – повышение концентрации, степень неизвестна, но вероятно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C964CC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Цинакалцет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3B25EE" w:rsidRDefault="00FD7487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алитритиноин/каберголин/</w:t>
            </w:r>
          </w:p>
          <w:p w:rsidR="00C964CC" w:rsidRDefault="00FD7487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каннабиоиды/цинакалцет, может потребоваться снижение</w:t>
            </w:r>
            <w:r w:rsidR="00037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этих препаратов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C964CC" w:rsidTr="00E16BD3">
        <w:tc>
          <w:tcPr>
            <w:tcW w:w="2235" w:type="dxa"/>
          </w:tcPr>
          <w:p w:rsidR="00C964CC" w:rsidRDefault="00311938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Колхицин</w:t>
            </w:r>
          </w:p>
        </w:tc>
        <w:tc>
          <w:tcPr>
            <w:tcW w:w="3402" w:type="dxa"/>
          </w:tcPr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Колхицин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C964CC" w:rsidRDefault="00FD7487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пациентам с нарушением функции почек или печени во время и в течение 2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 после лечения итраконазолом. Повышен риск появления нежелательных реакций на </w:t>
            </w:r>
            <w:r w:rsidR="00FD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колхицин: снижение сердечного выброса, аритмии сердца, респираторный дистресс и угнетение костного мозга.</w:t>
            </w:r>
          </w:p>
          <w:p w:rsidR="00FD2CF1" w:rsidRDefault="00FD2CF1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другим пациентам во время и в течение 2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после лечения итраконазолом. Повышен риск появления нежелательных реакций на колхицин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DD2ECB" w:rsidRPr="00DD2ECB" w:rsidTr="00E16BD3">
        <w:tc>
          <w:tcPr>
            <w:tcW w:w="2235" w:type="dxa"/>
          </w:tcPr>
          <w:p w:rsidR="00DD2ECB" w:rsidRDefault="00DD2EC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Элиглустат</w:t>
            </w:r>
          </w:p>
        </w:tc>
        <w:tc>
          <w:tcPr>
            <w:tcW w:w="3402" w:type="dxa"/>
          </w:tcPr>
          <w:p w:rsidR="00DD2ECB" w:rsidRDefault="00DD2EC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CYP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элиглустата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DD2ECB" w:rsidRPr="00E761AC" w:rsidRDefault="00DD2EC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выраженное повышение ожидается у лиц со средним или слабым метаболизмом</w:t>
            </w:r>
          </w:p>
          <w:p w:rsidR="00DD2ECB" w:rsidRPr="00DD2ECB" w:rsidRDefault="00DD2EC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CYP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IMs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 одновременном применени</w:t>
            </w:r>
            <w:r w:rsidR="003B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ингибитора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CYP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4" w:type="dxa"/>
          </w:tcPr>
          <w:p w:rsidR="00DD2ECB" w:rsidRDefault="001B03E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Противопоказан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пациентам с сильным метаболизмом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CYP</w:t>
            </w:r>
            <w:r w:rsidR="00DD2ECB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D2ECB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B7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proofErr w:type="gramStart"/>
            <w:r w:rsidR="00B72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получающим мощный или умеренный ингибитор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CYP</w:t>
            </w:r>
            <w:r w:rsidR="00DD2ECB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а также пациентам со средн</w:t>
            </w:r>
            <w:r w:rsidR="003B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или слабым метаболизмом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CYP</w:t>
            </w:r>
            <w:r w:rsidR="00DD2ECB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во время и в течение 2 недель после терап</w:t>
            </w:r>
            <w:r w:rsidR="003B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итраконазолом. Повышен риск появления нежелательных реакций на элиглустат: пролонгация интервалов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</w:t>
            </w:r>
            <w:r w:rsidR="00DD2ECB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QTc</w:t>
            </w:r>
            <w:r w:rsidR="00DD2ECB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и/или</w:t>
            </w:r>
            <w:r w:rsidR="00DD2ECB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2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RS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сердечные аритмии.</w:t>
            </w:r>
          </w:p>
          <w:p w:rsidR="00DD2ECB" w:rsidRPr="00DD2ECB" w:rsidRDefault="00DD2EC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 осторожностью у лиц с сильным метаболизмом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CYP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EMs</w:t>
            </w:r>
            <w:r w:rsidR="001B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наблюдать на предмет появления нежелательных реакций на элиглустат</w:t>
            </w:r>
            <w:r w:rsidR="001B03E2"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 w:rsidR="001B0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аться снижение дозы элиглустата</w:t>
            </w:r>
          </w:p>
        </w:tc>
      </w:tr>
      <w:tr w:rsidR="00DD2ECB" w:rsidTr="00E16BD3">
        <w:tc>
          <w:tcPr>
            <w:tcW w:w="2235" w:type="dxa"/>
          </w:tcPr>
          <w:p w:rsidR="00DD2ECB" w:rsidRDefault="00DD2EC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3402" w:type="dxa"/>
          </w:tcPr>
          <w:p w:rsidR="00DD2ECB" w:rsidRPr="00E937EA" w:rsidRDefault="00DD2ECB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Алкалоиды спорыньи – повышение концентрации (степень неизвестна)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b</w:t>
            </w:r>
          </w:p>
        </w:tc>
        <w:tc>
          <w:tcPr>
            <w:tcW w:w="3934" w:type="dxa"/>
          </w:tcPr>
          <w:p w:rsidR="00DD2ECB" w:rsidRDefault="001B03E2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Противопоказаны во время и в течение 2 недель после лечения </w:t>
            </w:r>
            <w:r w:rsidRPr="005D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итраконазолом. Повышен риск 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появления нежелательных реакций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алкалоиды спорыньи</w:t>
            </w:r>
            <w:r w:rsidRPr="005D5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таких как</w:t>
            </w:r>
            <w:r w:rsidRPr="00461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эрготизм (см. также раздел «Противомигренозные средства»)</w:t>
            </w:r>
          </w:p>
        </w:tc>
      </w:tr>
      <w:tr w:rsidR="00DD2ECB" w:rsidTr="00E16BD3">
        <w:tc>
          <w:tcPr>
            <w:tcW w:w="2235" w:type="dxa"/>
          </w:tcPr>
          <w:p w:rsidR="00DD2ECB" w:rsidRDefault="00DD2EC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Ивакафтор</w:t>
            </w:r>
          </w:p>
        </w:tc>
        <w:tc>
          <w:tcPr>
            <w:tcW w:w="3402" w:type="dxa"/>
          </w:tcPr>
          <w:p w:rsidR="00DD2ECB" w:rsidRDefault="00DD2ECB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Ивакафтор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DD2ECB" w:rsidRDefault="00F353D3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ивакафтор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ивакаф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</w:t>
            </w:r>
          </w:p>
        </w:tc>
      </w:tr>
      <w:tr w:rsidR="00C964CC" w:rsidTr="00E16BD3">
        <w:tc>
          <w:tcPr>
            <w:tcW w:w="2235" w:type="dxa"/>
          </w:tcPr>
          <w:p w:rsidR="00C964CC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Лумакафтор/ивакафтор</w:t>
            </w:r>
          </w:p>
        </w:tc>
        <w:tc>
          <w:tcPr>
            <w:tcW w:w="3402" w:type="dxa"/>
          </w:tcPr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Ивакафтор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DD2ECB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D2ECB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D2ECB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D2ECB"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DD2ECB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Лумакафтор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="00DD2ECB"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(↔)</w:t>
            </w:r>
            <w:r w:rsidR="00DD2ECB"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 w:rsidR="00DD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(↔)</w:t>
            </w:r>
            <w:r w:rsidR="00DD2ECB"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C964CC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Итраконазол –  снижение концентрации, степень неизвестна, но вероятно</w:t>
            </w:r>
            <w:r w:rsidR="002C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↓↓↓</w:t>
            </w:r>
          </w:p>
        </w:tc>
        <w:tc>
          <w:tcPr>
            <w:tcW w:w="3934" w:type="dxa"/>
          </w:tcPr>
          <w:p w:rsidR="00C964CC" w:rsidRDefault="002E5106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 течение 2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до, во время и в течение 2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 после лечения итраконазолом. Возможно снижение эффективности итраконазола, возрастает риск появления нежелательных реакций на ивакафтор</w:t>
            </w:r>
            <w:r w:rsidRPr="00E76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</w:p>
        </w:tc>
      </w:tr>
      <w:tr w:rsidR="00FD2CF1" w:rsidTr="00E16BD3">
        <w:tc>
          <w:tcPr>
            <w:tcW w:w="9571" w:type="dxa"/>
            <w:gridSpan w:val="3"/>
          </w:tcPr>
          <w:p w:rsidR="00FD2CF1" w:rsidRPr="00E761AC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6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Антагонисты рецепторов вазопрессина </w:t>
            </w:r>
          </w:p>
        </w:tc>
      </w:tr>
      <w:tr w:rsidR="00C964CC" w:rsidTr="00E16BD3">
        <w:tc>
          <w:tcPr>
            <w:tcW w:w="2235" w:type="dxa"/>
          </w:tcPr>
          <w:p w:rsidR="00C964CC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Кониваптан</w:t>
            </w:r>
          </w:p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Толваптан</w:t>
            </w:r>
          </w:p>
        </w:tc>
        <w:tc>
          <w:tcPr>
            <w:tcW w:w="3402" w:type="dxa"/>
          </w:tcPr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Кониваптан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  <w:p w:rsidR="00C964CC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Толваптан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↑)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а</w:t>
            </w:r>
          </w:p>
        </w:tc>
        <w:tc>
          <w:tcPr>
            <w:tcW w:w="3934" w:type="dxa"/>
          </w:tcPr>
          <w:p w:rsidR="00C964CC" w:rsidRDefault="002E5106" w:rsidP="000443F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рекомендуется во время и 2</w:t>
            </w:r>
            <w:r w:rsidR="0004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после лечения итраконазолом. Повышен риск появления нежелательных реакций на кониваптан/толваптан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proofErr w:type="gramStart"/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proofErr w:type="gramEnd"/>
          </w:p>
        </w:tc>
      </w:tr>
      <w:tr w:rsidR="00C964CC" w:rsidTr="00E16BD3">
        <w:tc>
          <w:tcPr>
            <w:tcW w:w="2235" w:type="dxa"/>
          </w:tcPr>
          <w:p w:rsidR="00C964CC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Мозаваптан</w:t>
            </w:r>
          </w:p>
        </w:tc>
        <w:tc>
          <w:tcPr>
            <w:tcW w:w="3402" w:type="dxa"/>
          </w:tcPr>
          <w:p w:rsidR="00FD2CF1" w:rsidRDefault="00FD2CF1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Мозаваптан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9D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</w:t>
            </w:r>
            <w:r w:rsidRPr="00D1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↑↑</w:t>
            </w:r>
          </w:p>
          <w:p w:rsidR="00C964CC" w:rsidRDefault="00C964CC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C964CC" w:rsidRDefault="002E5106" w:rsidP="00E761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 осторожностью, наблюдать на предмет появления нежелательных реакций на мозаваптан</w:t>
            </w:r>
            <w:r w:rsidRPr="0089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может потребоваться снижение дозы мозаваптана</w:t>
            </w:r>
          </w:p>
        </w:tc>
      </w:tr>
    </w:tbl>
    <w:p w:rsidR="00EB340F" w:rsidRDefault="00EB340F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51" w:rsidRPr="004734E8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734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Примечание</w:t>
      </w:r>
    </w:p>
    <w:p w:rsidR="006C0551" w:rsidRPr="00DB0722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повышение концентрации:</w:t>
      </w: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&lt; 100</w:t>
      </w:r>
      <w:r w:rsidR="0047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(&lt; 2</w:t>
      </w:r>
      <w:r w:rsidR="0047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раза);</w:t>
      </w: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100-400</w:t>
      </w:r>
      <w:r w:rsidR="0047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(≥ 2 раза и &lt; 5 раз);</w:t>
      </w: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↑↑↑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400-900</w:t>
      </w:r>
      <w:r w:rsidR="0047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(≥ 5 раз и &lt; 10 раз);</w:t>
      </w: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↑↑↑↑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≥ 10 раз.</w:t>
      </w:r>
    </w:p>
    <w:p w:rsidR="006C0551" w:rsidRPr="00DB0722" w:rsidRDefault="006C0551" w:rsidP="006C0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снижение концентрации:</w:t>
      </w: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↓: &lt; 40</w:t>
      </w:r>
      <w:r w:rsidR="0047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↓↓</w:t>
      </w:r>
      <w:r w:rsidR="005F0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40-80</w:t>
      </w:r>
      <w:r w:rsidR="0047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↓↓↓: &gt;80</w:t>
      </w:r>
      <w:r w:rsidR="0047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6C0551" w:rsidRPr="00DB0722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эффекта: ↔.</w:t>
      </w: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0551" w:rsidRDefault="006C055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описания эффекта (средняя колонка) указано название исходного лекарственного вещества, даже если эффект относится к активному компоненту или активному метаболиту пролекарства.</w:t>
      </w:r>
    </w:p>
    <w:p w:rsidR="006268F7" w:rsidRDefault="006268F7" w:rsidP="00BA37F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Для препаратов со стрелками в скобках оценка основана на механизме лекарственных взаимодействий и информации о клинических лекарственных взаимодействиях с кетоконазолом или другими мощными ингибиторами 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CYP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3А4 и/или ингибиторами </w:t>
      </w:r>
      <w:r w:rsidR="00BE7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Р-гликопротеина или 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BCRP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FB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данных 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моделирования, клинических случаев и/или экспериментов 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="00015F8A" w:rsidRPr="00E76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vitro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="00FB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ругих перечисленных препаратов оценка основана на данных клинических </w:t>
      </w:r>
      <w:r w:rsidR="00FB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</w:t>
      </w:r>
      <w:r w:rsidR="00015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взаимодействий препарата с итраконазолом.</w:t>
      </w:r>
    </w:p>
    <w:p w:rsidR="00015F8A" w:rsidRDefault="00015F8A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Параметры фармакокинетики не установлены</w:t>
      </w:r>
    </w:p>
    <w:p w:rsidR="00015F8A" w:rsidRDefault="00015F8A" w:rsidP="00BA37F4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Связанные с препаратом нежелательные лекарственные реакции представлены в соответствующей инструкции по применению.</w:t>
      </w:r>
    </w:p>
    <w:p w:rsidR="00015F8A" w:rsidRPr="00E761AC" w:rsidRDefault="00015F8A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761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Дети</w:t>
      </w:r>
    </w:p>
    <w:p w:rsidR="00015F8A" w:rsidRDefault="00015F8A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Лекарственные взаимодействия изучены только у взрослых.</w:t>
      </w:r>
    </w:p>
    <w:p w:rsidR="004734E8" w:rsidRPr="00015F8A" w:rsidRDefault="004734E8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145" w:rsidRPr="00983126" w:rsidRDefault="00DC6145" w:rsidP="00C85DC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указания</w:t>
      </w:r>
    </w:p>
    <w:p w:rsidR="009867EC" w:rsidRPr="00983126" w:rsidRDefault="009867EC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Влияние на деятельность сердца</w:t>
      </w:r>
    </w:p>
    <w:p w:rsidR="00466D8C" w:rsidRDefault="00466D8C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исследовании на здоровых добровольцах итраконазола для внутривенного введения отмечалось преходящее бессимптомное уменьшени</w:t>
      </w:r>
      <w:r w:rsidR="007C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фракции выброса левого желудочка, нормализовавшееся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следующей инфузии </w:t>
      </w:r>
      <w:r w:rsidR="00FB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Клиническая значимость полученных данных для пероральных лекарственных форм неизвестна.  </w:t>
      </w:r>
    </w:p>
    <w:p w:rsidR="005E1BE2" w:rsidRPr="00983126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Итраконазол обладает отрицательным инотропным эффектом. Сообщалось о случаях хронической сердечной недостаточности, связанных с приемом </w:t>
      </w:r>
      <w:r w:rsidR="009867EC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r w:rsidR="0046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суточной дозе</w:t>
      </w:r>
      <w:r w:rsidR="00466D8C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</w:t>
      </w:r>
      <w:r w:rsidR="000F5C2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мг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итраконазола</w:t>
      </w:r>
      <w:r w:rsidR="004964B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сутки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наблюдалось более частое возникновение сердечной недостаточности; при меньших суточных дозах такой закономерности выявлено не было. Риск возникновения хронической сердечной недостаточности предположительно пропорционален суточной дозе. Препарат не следует принимать пациентам с</w:t>
      </w:r>
      <w:r w:rsidR="007C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хронической сердечной недостаточностью или с наличием этого симптомокомплекса в</w:t>
      </w:r>
      <w:r w:rsidR="007C0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анамнезе, за исключением случаев, когда возможная польза значительно </w:t>
      </w:r>
      <w:r w:rsidR="00466D8C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</w:t>
      </w:r>
      <w:r w:rsidR="0046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ышает</w:t>
      </w:r>
      <w:r w:rsidR="00466D8C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потенциальный риск. При индивидуальной оценке соотношения пользы и риска следует принимать во внимание такие факторы, как серьезность показаний, режим дозирования и индивидуальные факторы риска возникновения сердечной недостаточности (ишемическая болезнь сердца, поражения клапанов, обструктивные болезни легких, почечная недостаточность и другие заболевания, сопровождающиеся отеками). Таких пациентов необходимо проинформировать о признаках и симптомах хронической сердечной недостаточности и следить за их появлением во время курса лечения. При появлении подобных признаков прием препарата</w:t>
      </w:r>
      <w:r w:rsidR="00453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прекратить.</w:t>
      </w:r>
    </w:p>
    <w:p w:rsidR="005E1BE2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Угрожающие жизни аритмии сердца и/или внезапная смерть отмечались у пациентов при одновременном применении</w:t>
      </w:r>
      <w:r w:rsidR="00C04690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итраконазола и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метадона.</w:t>
      </w:r>
    </w:p>
    <w:p w:rsidR="00466D8C" w:rsidRPr="00983126" w:rsidRDefault="00466D8C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Блокаторы кальциевых каналов могут обладать отрицательным инотропным эффектом</w:t>
      </w:r>
      <w:r w:rsidR="00A4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может быть аддитивным по отношению к эффекту итраконазола. Кроме того, итраконазол может ингибировать метаболизм блокаторов кальциевых каналов. Следовательно, следует проявлять осторожность при одновременном применении итраконазола и блокаторов кальциевых каналов из-за повышения риска застойной сердечной  недостаточности.</w:t>
      </w:r>
    </w:p>
    <w:p w:rsidR="00360F3F" w:rsidRPr="00983126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Лекарственные взаимодействия</w:t>
      </w:r>
    </w:p>
    <w:p w:rsidR="005E1BE2" w:rsidRPr="00983126" w:rsidRDefault="00360F3F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дновременный прием некоторых лекарственных препаратов с итраконазолом может привести к изменению</w:t>
      </w:r>
      <w:r w:rsidR="001C38E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итраконазола и/или одновременно применяемых лекарственных препаратов,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возникновению опасных для жизни побочных реакций и/или внезапной смерти</w:t>
      </w:r>
      <w:r w:rsidR="00A4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Препараты, которые нельзя принимать одновременно с итраконазолом, не рекомендованные для одновременного применения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 рекомендованные для одновременного применения с итраконазолом с осторожностью, перечислены в разделе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«Взаимодействие с другими лекарственными средствами».</w:t>
      </w:r>
    </w:p>
    <w:p w:rsidR="00360F3F" w:rsidRPr="00983126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</w:t>
      </w:r>
      <w:r w:rsidR="00360F3F"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екрестная гиперчувствительность</w:t>
      </w:r>
    </w:p>
    <w:p w:rsidR="005E1BE2" w:rsidRDefault="00360F3F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 в отношении наличия перекрестной гиперчувствительности между итраконазолом и другими противогрибковыми средствами с азольной структурой (из группы азолов) ограничены. При наличии гиперчувствительности к другим азолам следует с осторожностью назначать итраконазол.</w:t>
      </w:r>
    </w:p>
    <w:p w:rsidR="003E5500" w:rsidRDefault="003E550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Взаимозаменяемость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5500" w:rsidRPr="003E5500" w:rsidRDefault="003E550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рекомендуется взаимозаменяемое </w:t>
      </w:r>
      <w:r w:rsidR="0072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препаратов итраконазола в лекарственных формах: капсулы и раствор для приема внутрь, ввиду того,</w:t>
      </w:r>
      <w:r w:rsidR="0072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экспозиция итраконазола выше при его </w:t>
      </w:r>
      <w:r w:rsidR="0072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форме раствора для приема внутрь, чем в форме капсул, даже при приеме одинаковых доз итраконазола. </w:t>
      </w:r>
    </w:p>
    <w:p w:rsidR="00360F3F" w:rsidRPr="00983126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Сниженная кислотность желудочного сока</w:t>
      </w:r>
    </w:p>
    <w:p w:rsidR="005E1BE2" w:rsidRPr="00983126" w:rsidRDefault="00360F3F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сниженной кислотности желудочного сока абсорбция итраконазола</w:t>
      </w:r>
      <w:r w:rsidR="001C38E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3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капсул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шается. </w:t>
      </w:r>
      <w:r w:rsidR="00C63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Пациентам со сниженной кислотностью желудочного сока вследствие заболевания (например, у пациентов с ахлоргидрией) или вследствие приема лекарственных препаратов (например, лекарственных средств, подавляющих желудочную секрецию) рекомендуется принимать </w:t>
      </w:r>
      <w:r w:rsidR="0072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</w:t>
      </w:r>
      <w:r w:rsidR="00C63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капсулах одновременно с кислыми напитками (такими как недиетическая кола).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контролировать противогрибковую активность препарата</w:t>
      </w:r>
      <w:r w:rsidR="00C04690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увеличивать дозу</w:t>
      </w:r>
      <w:r w:rsidR="00C63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итраконазола</w:t>
      </w:r>
      <w:r w:rsidR="00FB3AFE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необходимости.</w:t>
      </w:r>
    </w:p>
    <w:p w:rsidR="00360F3F" w:rsidRPr="00983126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Влияние на функцию печени</w:t>
      </w:r>
    </w:p>
    <w:p w:rsidR="005E1BE2" w:rsidRPr="00983126" w:rsidRDefault="00360F3F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редких случаях при применении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развивалось тяжелое токсическое поражение печени, включая несколько случаев острой печеночной недостаточности с</w:t>
      </w:r>
      <w:r w:rsidR="00C85DC7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летальным исходом. В большинстве случаев это происходило с пациентами, у которых уже имелись заболевания печени, у </w:t>
      </w:r>
      <w:r w:rsidR="001C38E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пациентов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другими тяжелыми заболеваниями, которым </w:t>
      </w:r>
      <w:r w:rsidR="0072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назначен для лечения системных заболеваний, а также у</w:t>
      </w:r>
      <w:r w:rsidR="00C85DC7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пациентов, получавших другие лекарственные средства, обладающие гепатотоксическим действием. Однако у некоторых пациентов не было сопутствующих заболеваний или очевидных факторов риска в отношении поражения печени. </w:t>
      </w:r>
      <w:r w:rsidR="00A0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</w:t>
      </w:r>
      <w:r w:rsidR="00636B6C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случаев возникли в перв</w:t>
      </w:r>
      <w:r w:rsidR="001C38E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месяц терапии, а некоторые –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неделю лечения. В связи с этим рекомендуется регулярно контролировать функцию печени у пациентов, получающих терапию итраконазолом. В случае возникновения симптомов, предполагающих возникновение гепатита, а именно</w:t>
      </w:r>
      <w:r w:rsidR="00C6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анорексии, тошноты, рвоты, слабости, боли в животе и потемнения мочи, необходимо немедленно прекратить лечение и провести исследование функции печени. Пациентам с </w:t>
      </w:r>
      <w:r w:rsidR="00A03D24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</w:t>
      </w:r>
      <w:r w:rsidR="00A0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A03D24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</w:t>
      </w:r>
      <w:r w:rsidR="00A0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="00A03D24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печеночных ферментов</w:t>
      </w:r>
      <w:r w:rsidR="00A0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заболеванием печени в активной фазе или при перенесенном токсическом поражении печени вследствие приема других препаратов не следует назначать лечение </w:t>
      </w:r>
      <w:r w:rsidR="00C6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итраконазолом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исключением тех случаев, когда ожидаемая польза </w:t>
      </w:r>
      <w:r w:rsidR="00A0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превышает потенциальный</w:t>
      </w:r>
      <w:r w:rsidR="00A03D24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риск поражения печени. </w:t>
      </w:r>
      <w:r w:rsidR="00A0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проводить наблюдение за уровнем лабораторных параметров функции печени у пациентов с уже имеющимся нарушением функции печени или пациентов, у которых отмечались проявления гепатотоксичности других лекарственных средств.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Итраконазол преимущественно метаболизируется в печени. Поскольку у пациентов с нарушениями функции печени полный период полувыведения итраконазола несколько увеличен, рекомендуется осуществлять контроль концентраций итраконазола в плазме </w:t>
      </w:r>
      <w:r w:rsidR="001C38E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крови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 необходимости корректировать дозу препарата.</w:t>
      </w:r>
    </w:p>
    <w:p w:rsidR="00B23A00" w:rsidRPr="00983126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Нарушения функции почек</w:t>
      </w:r>
    </w:p>
    <w:p w:rsidR="005E1BE2" w:rsidRPr="00983126" w:rsidRDefault="00B23A0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анные по применению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пациентов с нарушениями функции почек ограничены, у некоторых пациентов с недостаточностью функции почек экспозиция итраконазола может быть понижена. Поэтому таким пациентам следует назначать препарат с осторожностью. Рекомендуется ос</w:t>
      </w:r>
      <w:r w:rsidR="001C38E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уществлять контроль концентрации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итраконазола в плазме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крови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 необходимости корректировать дозу препарата. </w:t>
      </w:r>
    </w:p>
    <w:p w:rsidR="00B23A00" w:rsidRPr="00983126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Пациенты с иммунодефицитом</w:t>
      </w:r>
    </w:p>
    <w:p w:rsidR="005E1BE2" w:rsidRPr="00983126" w:rsidRDefault="00B23A0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иодоступность итраконазола при пероральном приеме может быть </w:t>
      </w:r>
      <w:proofErr w:type="gramStart"/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снижена</w:t>
      </w:r>
      <w:proofErr w:type="gramEnd"/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некоторых пациентов с нарушенным иммунитетом, например, у </w:t>
      </w:r>
      <w:r w:rsidR="001C38E6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пациентов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нейтропенией, </w:t>
      </w:r>
      <w:r w:rsidR="0017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пациентов со</w:t>
      </w:r>
      <w:r w:rsidR="00F2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СПИДом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перенесших операцию по трансплантации органов.</w:t>
      </w:r>
      <w:r w:rsidR="00F2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доза должна быть скорректирована в зависимости от кли</w:t>
      </w:r>
      <w:r w:rsidR="00644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нической картины у этой группы пациентов</w:t>
      </w:r>
      <w:r w:rsidR="00F25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3A00" w:rsidRPr="00983126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Пациенты с системными грибковыми инфекциями, представляющими угрозу жизни</w:t>
      </w:r>
    </w:p>
    <w:p w:rsidR="005E1BE2" w:rsidRPr="00983126" w:rsidRDefault="00A16DC9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Вследствие фармакокинетических характеристик (см. подраздел «Фармакокинетика») </w:t>
      </w:r>
      <w:r w:rsidR="00C64B1D" w:rsidRPr="00E76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6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6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капсул его применение не рекомендуется для начала лечения системных микозов, представляющих угрозу жизни пациентов.</w:t>
      </w:r>
    </w:p>
    <w:p w:rsidR="00B23A00" w:rsidRPr="00983126" w:rsidRDefault="00175E48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Пациенты со</w:t>
      </w:r>
      <w:r w:rsidR="00A16D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СПИДом</w:t>
      </w:r>
    </w:p>
    <w:p w:rsidR="005E1BE2" w:rsidRPr="00983126" w:rsidRDefault="00B23A0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ечащий врач должен оценить необходимость назначения поддерживающей терапии </w:t>
      </w:r>
      <w:r w:rsidR="00A1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ВИЧ-</w:t>
      </w:r>
      <w:r w:rsidR="00A16DC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инфицированны</w:t>
      </w:r>
      <w:r w:rsidR="00A1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A16DC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</w:t>
      </w:r>
      <w:r w:rsidR="00A16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8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имеющих СПИД, у которых существует риск рецидива, 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получавши</w:t>
      </w:r>
      <w:r w:rsidR="0017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лечение по поводу системных грибковых инфекций</w:t>
      </w:r>
      <w:r w:rsidR="0058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3A00" w:rsidRPr="00983126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в педиатрической практике</w:t>
      </w:r>
    </w:p>
    <w:p w:rsidR="005E1BE2" w:rsidRPr="00983126" w:rsidRDefault="00B23A0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оскольку клинических данных о</w:t>
      </w:r>
      <w:r w:rsidR="0017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применении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недостаточно, рекомендуется назначать препарат детям</w:t>
      </w:r>
      <w:r w:rsidR="0058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случае, если возможная польза от лечения превышает потенциальный риск.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B1D" w:rsidRDefault="005E1BE2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Женщинам детородного возраста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принимающим препарат</w:t>
      </w:r>
      <w:r w:rsidR="00C6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использовать адекватные методы контрацепции на протяжении всего курса лечения вплоть до наступления первой менструации после завершения</w:t>
      </w:r>
      <w:r w:rsidR="00175E48" w:rsidRPr="0017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5E48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175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</w:t>
      </w:r>
      <w:r w:rsidR="00C64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690" w:rsidRPr="00983126" w:rsidRDefault="00C04690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Периферическая нейропатия</w:t>
      </w:r>
    </w:p>
    <w:p w:rsidR="00B23A00" w:rsidRPr="00983126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Лечение следует прекратить при возникновении периферической нейропатии, </w:t>
      </w:r>
      <w:proofErr w:type="gramStart"/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связана с приемом </w:t>
      </w:r>
      <w:r w:rsidR="00B23A00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итраконазола.</w:t>
      </w:r>
    </w:p>
    <w:p w:rsidR="00B23A00" w:rsidRDefault="00B23A0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системных кандидозах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предположительно вызванных флуконазол-резистентными штаммами </w:t>
      </w:r>
      <w:r w:rsidRPr="009831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Candida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нельзя предположить чувствительность к итраконазолу, следовательно, рекомендуется проверить чувствительность пер</w:t>
      </w:r>
      <w:r w:rsidR="00B5231B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 началом терапии</w:t>
      </w:r>
      <w:r w:rsidR="0058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итраконазолом</w:t>
      </w:r>
      <w:r w:rsidR="00B5231B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6AE" w:rsidRPr="00E761AC" w:rsidRDefault="005816AE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61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Пациенты пожилого возраста</w:t>
      </w:r>
    </w:p>
    <w:p w:rsidR="005816AE" w:rsidRDefault="005816AE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по </w:t>
      </w:r>
      <w:r w:rsidR="0015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итраконазола у пациентов пожилого возраста ограничены. Р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екомендуется назначать препарат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 случае, если возможная польза от лечения превышает потенциальный риск</w:t>
      </w:r>
      <w:r w:rsidR="0060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целом рекомендуется при подборе дозы для пациентов пожилого возраста</w:t>
      </w:r>
      <w:r w:rsidR="0015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 внимание на частоту снижения функции печени, почек, </w:t>
      </w:r>
      <w:proofErr w:type="gramStart"/>
      <w:r w:rsidR="0060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gramEnd"/>
      <w:r w:rsidR="0060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сопутствующих заболеваний или другой лекарственной терапии.</w:t>
      </w:r>
    </w:p>
    <w:p w:rsidR="006044BD" w:rsidRPr="00983126" w:rsidRDefault="006044BD" w:rsidP="006044BD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Потеря слуха</w:t>
      </w:r>
    </w:p>
    <w:p w:rsidR="006044BD" w:rsidRPr="00983126" w:rsidRDefault="006044BD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Сообщалось о временной или стойкой потере слуха у пациентов, принимающих итраконазол. В некоторых случаях потеря слуха происходила на фоне одновременного приема с хинидином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раздел «Противопоказания» и «Взаимодействие с другими лекарственными средствами»)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Слух обычно восстанавливается после окончания терапии итраконазолом, однако у некоторых пациентов потеря слуха необратима.</w:t>
      </w:r>
    </w:p>
    <w:p w:rsidR="00B5231B" w:rsidRPr="00983126" w:rsidRDefault="00B5231B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Способность к зачатию</w:t>
      </w:r>
    </w:p>
    <w:p w:rsidR="005E1BE2" w:rsidRPr="00983126" w:rsidRDefault="006044BD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5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сследовани</w:t>
      </w:r>
      <w:r w:rsidR="0085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E1BE2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животных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отмечалась репродуктивная токсичность итраконазола.</w:t>
      </w:r>
    </w:p>
    <w:p w:rsidR="00B5231B" w:rsidRPr="00983126" w:rsidRDefault="00B5231B" w:rsidP="00C85DC7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Муковисцидоз (кистозный фиброз)</w:t>
      </w:r>
    </w:p>
    <w:p w:rsidR="005E1BE2" w:rsidRPr="00983126" w:rsidRDefault="005E1BE2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пациентов с муковисцидозом (кистозным фиброзом) наблюдалась вариабельность концентрации итраконазола в плазме крови при применении итраконазола в форме раствора для приема внутрь в дозе 2,5</w:t>
      </w:r>
      <w:r w:rsidR="000F5C2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мг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/кг 2 раза в сутки. Как следствие, терапевтическая равновесная концентрация итраконазола в плазме крови может не достигаться. Равновесные концентрации &gt;</w:t>
      </w:r>
      <w:r w:rsidR="00B5231B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</w:t>
      </w:r>
      <w:r w:rsidR="00C04690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нг/мл достигались приблизительно у 50</w:t>
      </w:r>
      <w:r w:rsidR="000F5C2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%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пациентов старше 16 лет и не достигались ни у одного пациента</w:t>
      </w:r>
      <w:r w:rsidR="000F5C29"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адше 16 лет. При отсутствии ответа на терапию </w:t>
      </w:r>
      <w:r w:rsidR="0015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итраконазолом в виде </w:t>
      </w:r>
      <w:r w:rsidR="0060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капсул</w:t>
      </w:r>
      <w:r w:rsidRPr="00983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рассмотреть возможность перехода на альтернативную терапию.</w:t>
      </w:r>
    </w:p>
    <w:p w:rsidR="00393611" w:rsidRPr="0073689C" w:rsidRDefault="00393611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231B" w:rsidRPr="00983126" w:rsidRDefault="00DC6145" w:rsidP="00270A3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на способность к управлению транспортными средствами и механизмами</w:t>
      </w:r>
    </w:p>
    <w:p w:rsidR="00B23A00" w:rsidRPr="00983126" w:rsidRDefault="00B23A00" w:rsidP="00270A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3126">
        <w:rPr>
          <w:rFonts w:ascii="Times New Roman" w:hAnsi="Times New Roman" w:cs="Times New Roman"/>
          <w:color w:val="000000"/>
          <w:sz w:val="24"/>
          <w:szCs w:val="24"/>
        </w:rPr>
        <w:t>Исследования по изучению влияния итраконазола на способность управлять транспортными средствами и работать с техникой не проводил</w:t>
      </w:r>
      <w:r w:rsidR="00C04690" w:rsidRPr="009831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сь. Необходимо принимать во внимание возможность возникновения побочных реакций, таких как головокружение, нарушение зрения и потеря слуха (см. </w:t>
      </w:r>
      <w:r w:rsidR="00B5231B"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«Побочное действие»). При появлении описанных нежелательных </w:t>
      </w:r>
      <w:r w:rsidR="004951D6">
        <w:rPr>
          <w:rFonts w:ascii="Times New Roman" w:hAnsi="Times New Roman" w:cs="Times New Roman"/>
          <w:color w:val="000000"/>
          <w:sz w:val="24"/>
          <w:szCs w:val="24"/>
        </w:rPr>
        <w:t>реакций</w:t>
      </w:r>
      <w:r w:rsidR="004951D6" w:rsidRPr="00983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3126">
        <w:rPr>
          <w:rFonts w:ascii="Times New Roman" w:hAnsi="Times New Roman" w:cs="Times New Roman"/>
          <w:color w:val="000000"/>
          <w:sz w:val="24"/>
          <w:szCs w:val="24"/>
        </w:rPr>
        <w:t>следует воздержаться от выполнения указанных видов деятельности.</w:t>
      </w:r>
    </w:p>
    <w:p w:rsidR="00DC6145" w:rsidRPr="00983126" w:rsidRDefault="00DC6145" w:rsidP="00270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45" w:rsidRPr="00983126" w:rsidRDefault="00DC6145" w:rsidP="00270A35">
      <w:pPr>
        <w:keepNext/>
        <w:widowControl w:val="0"/>
        <w:shd w:val="clear" w:color="auto" w:fill="FFFFFF"/>
        <w:tabs>
          <w:tab w:val="left" w:pos="89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выпуска</w:t>
      </w:r>
    </w:p>
    <w:p w:rsidR="00DC6145" w:rsidRPr="00983126" w:rsidRDefault="00776EA6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Капсулы 100</w:t>
      </w:r>
      <w:r w:rsidR="000F5C29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мг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D60" w:rsidRPr="00983126" w:rsidRDefault="00776EA6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6 или 7 капсул в контурной ячейковой упаковке</w:t>
      </w:r>
      <w:r w:rsidR="00B2697A" w:rsidRPr="00983126">
        <w:rPr>
          <w:rStyle w:val="af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B2697A" w:rsidRPr="00983126">
        <w:rPr>
          <w:rFonts w:ascii="Times New Roman" w:hAnsi="Times New Roman" w:cs="Times New Roman"/>
          <w:sz w:val="24"/>
          <w:szCs w:val="24"/>
        </w:rPr>
        <w:t>пленки поливинилхлоридной и фольги алюминиевой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6EA6" w:rsidRPr="00983126" w:rsidRDefault="00776EA6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контурная яч</w:t>
      </w:r>
      <w:r w:rsidR="008F18A6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ейковая упаковка по 6 капсул,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4, 6 или 12 контурных ячейковых упаковок по 7 капсул вместе с инструкцией по применению в пачке из картона.</w:t>
      </w:r>
    </w:p>
    <w:p w:rsidR="007C0506" w:rsidRPr="0073689C" w:rsidRDefault="007C0506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145" w:rsidRPr="00983126" w:rsidRDefault="00DC6145" w:rsidP="00270A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хранения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защищенном от света месте при температуре не выше 25</w:t>
      </w:r>
      <w:r w:rsidR="00AD6E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°С.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недоступном для детей месте.</w:t>
      </w:r>
    </w:p>
    <w:p w:rsidR="00DC6145" w:rsidRPr="00983126" w:rsidRDefault="00DC6145" w:rsidP="00270A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годности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года. 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85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8567AD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годности.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983126" w:rsidRDefault="00DC6145" w:rsidP="00270A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отпуска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Отпускают </w:t>
      </w:r>
      <w:r w:rsidR="00270A3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рецепт</w:t>
      </w:r>
      <w:r w:rsidR="00270A3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6145" w:rsidRPr="00983126" w:rsidRDefault="00DC6145" w:rsidP="00270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A" w:rsidRPr="001F18BA" w:rsidRDefault="001F18BA" w:rsidP="001F18B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8BA">
        <w:rPr>
          <w:rFonts w:ascii="Times New Roman" w:hAnsi="Times New Roman" w:cs="Times New Roman"/>
          <w:b/>
          <w:sz w:val="24"/>
          <w:szCs w:val="24"/>
        </w:rPr>
        <w:t>Юридическое лицо, на имя которого выдано регистрационное удостоверение</w:t>
      </w:r>
    </w:p>
    <w:p w:rsidR="001F18BA" w:rsidRPr="001F18BA" w:rsidRDefault="001F18BA" w:rsidP="001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BA">
        <w:rPr>
          <w:rFonts w:ascii="Times New Roman" w:hAnsi="Times New Roman" w:cs="Times New Roman"/>
          <w:sz w:val="24"/>
          <w:szCs w:val="24"/>
        </w:rPr>
        <w:t>АО «ВЕРТЕКС», Россия</w:t>
      </w:r>
    </w:p>
    <w:p w:rsidR="00270A35" w:rsidRPr="001F18BA" w:rsidRDefault="001F18BA" w:rsidP="001F18BA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BA">
        <w:rPr>
          <w:rFonts w:ascii="Times New Roman" w:hAnsi="Times New Roman" w:cs="Times New Roman"/>
          <w:sz w:val="24"/>
          <w:szCs w:val="24"/>
        </w:rPr>
        <w:t>Юридический адрес: 197350, г. Санкт-Петербург, Дорога в Каменку, д. 62, лит. А.</w:t>
      </w:r>
    </w:p>
    <w:p w:rsidR="00270A35" w:rsidRDefault="00270A35" w:rsidP="00270A3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A" w:rsidRPr="001F18BA" w:rsidRDefault="001F18BA" w:rsidP="001F18BA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8BA">
        <w:rPr>
          <w:rFonts w:ascii="Times New Roman" w:hAnsi="Times New Roman" w:cs="Times New Roman"/>
          <w:b/>
          <w:sz w:val="24"/>
          <w:szCs w:val="24"/>
        </w:rPr>
        <w:t>Производитель</w:t>
      </w:r>
    </w:p>
    <w:p w:rsidR="001F18BA" w:rsidRPr="001F18BA" w:rsidRDefault="001F18BA" w:rsidP="001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BA">
        <w:rPr>
          <w:rFonts w:ascii="Times New Roman" w:hAnsi="Times New Roman" w:cs="Times New Roman"/>
          <w:sz w:val="24"/>
          <w:szCs w:val="24"/>
        </w:rPr>
        <w:t>АО «ВЕРТЕКС», Россия</w:t>
      </w:r>
    </w:p>
    <w:p w:rsidR="001F18BA" w:rsidRPr="001F18BA" w:rsidRDefault="001F18BA" w:rsidP="001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BA">
        <w:rPr>
          <w:rFonts w:ascii="Times New Roman" w:hAnsi="Times New Roman" w:cs="Times New Roman"/>
          <w:sz w:val="24"/>
          <w:szCs w:val="24"/>
        </w:rPr>
        <w:t xml:space="preserve">Адрес производства: </w:t>
      </w:r>
    </w:p>
    <w:p w:rsidR="001F18BA" w:rsidRPr="001F18BA" w:rsidRDefault="001F18BA" w:rsidP="001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BA">
        <w:rPr>
          <w:rFonts w:ascii="Times New Roman" w:hAnsi="Times New Roman" w:cs="Times New Roman"/>
          <w:sz w:val="24"/>
          <w:szCs w:val="24"/>
        </w:rPr>
        <w:t>г. Санкт-Петербург, Дорога в Каменку, д. 62, лит. А.</w:t>
      </w:r>
    </w:p>
    <w:p w:rsidR="001F18BA" w:rsidRPr="001F18BA" w:rsidRDefault="001F18BA" w:rsidP="001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BA">
        <w:rPr>
          <w:rFonts w:ascii="Times New Roman" w:hAnsi="Times New Roman" w:cs="Times New Roman"/>
          <w:sz w:val="24"/>
          <w:szCs w:val="24"/>
        </w:rPr>
        <w:t>Организация, принимающая претензии потребителей:</w:t>
      </w:r>
    </w:p>
    <w:p w:rsidR="001F18BA" w:rsidRPr="001F18BA" w:rsidRDefault="001F18BA" w:rsidP="001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BA">
        <w:rPr>
          <w:rFonts w:ascii="Times New Roman" w:hAnsi="Times New Roman" w:cs="Times New Roman"/>
          <w:sz w:val="24"/>
          <w:szCs w:val="24"/>
        </w:rPr>
        <w:t>АО «ВЕРТЕКС», Россия</w:t>
      </w:r>
    </w:p>
    <w:p w:rsidR="001F18BA" w:rsidRPr="001F18BA" w:rsidRDefault="001F18BA" w:rsidP="001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BA">
        <w:rPr>
          <w:rFonts w:ascii="Times New Roman" w:hAnsi="Times New Roman" w:cs="Times New Roman"/>
          <w:sz w:val="24"/>
          <w:szCs w:val="24"/>
        </w:rPr>
        <w:t>199106, г. Санкт-Петербург, В. О., 24-линия, д. 27, лит. А.</w:t>
      </w:r>
    </w:p>
    <w:p w:rsidR="001F18BA" w:rsidRPr="001F18BA" w:rsidRDefault="001F18BA" w:rsidP="001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8BA">
        <w:rPr>
          <w:rFonts w:ascii="Times New Roman" w:hAnsi="Times New Roman" w:cs="Times New Roman"/>
          <w:sz w:val="24"/>
          <w:szCs w:val="24"/>
        </w:rPr>
        <w:t xml:space="preserve">Тел./факс: </w:t>
      </w:r>
    </w:p>
    <w:p w:rsidR="001F18BA" w:rsidRDefault="001F18BA" w:rsidP="00270A3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8BA" w:rsidRPr="00983126" w:rsidRDefault="001F18BA" w:rsidP="00270A3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45" w:rsidRPr="00E63E5F" w:rsidRDefault="00DC6145" w:rsidP="00270A3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АО «</w:t>
      </w:r>
      <w:r w:rsidRPr="0098312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Вертекс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0A35"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31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Копатько</w:t>
      </w:r>
    </w:p>
    <w:sectPr w:rsidR="00DC6145" w:rsidRPr="00E63E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74" w:rsidRDefault="00316074" w:rsidP="00854B40">
      <w:pPr>
        <w:spacing w:after="0" w:line="240" w:lineRule="auto"/>
      </w:pPr>
      <w:r>
        <w:separator/>
      </w:r>
    </w:p>
  </w:endnote>
  <w:endnote w:type="continuationSeparator" w:id="0">
    <w:p w:rsidR="00316074" w:rsidRDefault="00316074" w:rsidP="0085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781646"/>
      <w:docPartObj>
        <w:docPartGallery w:val="Page Numbers (Bottom of Page)"/>
        <w:docPartUnique/>
      </w:docPartObj>
    </w:sdtPr>
    <w:sdtEndPr/>
    <w:sdtContent>
      <w:p w:rsidR="00316074" w:rsidRDefault="0031607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D6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74" w:rsidRDefault="00316074" w:rsidP="00854B40">
      <w:pPr>
        <w:spacing w:after="0" w:line="240" w:lineRule="auto"/>
      </w:pPr>
      <w:r>
        <w:separator/>
      </w:r>
    </w:p>
  </w:footnote>
  <w:footnote w:type="continuationSeparator" w:id="0">
    <w:p w:rsidR="00316074" w:rsidRDefault="00316074" w:rsidP="0085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8D4"/>
    <w:multiLevelType w:val="multilevel"/>
    <w:tmpl w:val="17A0BD6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A145AB2"/>
    <w:multiLevelType w:val="hybridMultilevel"/>
    <w:tmpl w:val="5F247E0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3387D"/>
    <w:multiLevelType w:val="hybridMultilevel"/>
    <w:tmpl w:val="969A3D48"/>
    <w:lvl w:ilvl="0" w:tplc="0419000B">
      <w:start w:val="2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3863"/>
    <w:multiLevelType w:val="hybridMultilevel"/>
    <w:tmpl w:val="BF3AB1DC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47FA4"/>
    <w:multiLevelType w:val="multilevel"/>
    <w:tmpl w:val="AB9ACB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7800655"/>
    <w:multiLevelType w:val="hybridMultilevel"/>
    <w:tmpl w:val="DFB84F44"/>
    <w:lvl w:ilvl="0" w:tplc="21204C7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2A274DB0"/>
    <w:multiLevelType w:val="hybridMultilevel"/>
    <w:tmpl w:val="4C80194C"/>
    <w:lvl w:ilvl="0" w:tplc="F7809B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5251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892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F070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931827"/>
    <w:multiLevelType w:val="hybridMultilevel"/>
    <w:tmpl w:val="B2608590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A714B"/>
    <w:multiLevelType w:val="hybridMultilevel"/>
    <w:tmpl w:val="237C9C7E"/>
    <w:lvl w:ilvl="0" w:tplc="F7809B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2873EF0"/>
    <w:multiLevelType w:val="hybridMultilevel"/>
    <w:tmpl w:val="830C0680"/>
    <w:lvl w:ilvl="0" w:tplc="F7809B0E">
      <w:start w:val="1"/>
      <w:numFmt w:val="bullet"/>
      <w:lvlText w:val="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>
    <w:nsid w:val="5D484D19"/>
    <w:multiLevelType w:val="hybridMultilevel"/>
    <w:tmpl w:val="040C865A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71B55"/>
    <w:multiLevelType w:val="hybridMultilevel"/>
    <w:tmpl w:val="386029D4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D193F"/>
    <w:multiLevelType w:val="multilevel"/>
    <w:tmpl w:val="EC88C0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66A1EF3"/>
    <w:multiLevelType w:val="multilevel"/>
    <w:tmpl w:val="F15AD4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BA962E6"/>
    <w:multiLevelType w:val="hybridMultilevel"/>
    <w:tmpl w:val="CDEC6642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B2994"/>
    <w:multiLevelType w:val="multilevel"/>
    <w:tmpl w:val="9D7630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D3F2791"/>
    <w:multiLevelType w:val="hybridMultilevel"/>
    <w:tmpl w:val="377867F8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4"/>
  </w:num>
  <w:num w:numId="10">
    <w:abstractNumId w:val="7"/>
  </w:num>
  <w:num w:numId="11">
    <w:abstractNumId w:val="0"/>
  </w:num>
  <w:num w:numId="12">
    <w:abstractNumId w:val="18"/>
  </w:num>
  <w:num w:numId="13">
    <w:abstractNumId w:val="16"/>
  </w:num>
  <w:num w:numId="14">
    <w:abstractNumId w:val="15"/>
  </w:num>
  <w:num w:numId="15">
    <w:abstractNumId w:val="4"/>
  </w:num>
  <w:num w:numId="16">
    <w:abstractNumId w:val="13"/>
  </w:num>
  <w:num w:numId="17">
    <w:abstractNumId w:val="17"/>
  </w:num>
  <w:num w:numId="18">
    <w:abstractNumId w:val="1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6A"/>
    <w:rsid w:val="00012F74"/>
    <w:rsid w:val="00015F8A"/>
    <w:rsid w:val="0002005D"/>
    <w:rsid w:val="000267E1"/>
    <w:rsid w:val="000327CF"/>
    <w:rsid w:val="00033BCF"/>
    <w:rsid w:val="000375BF"/>
    <w:rsid w:val="000379C4"/>
    <w:rsid w:val="0004098D"/>
    <w:rsid w:val="000443F2"/>
    <w:rsid w:val="00046ACD"/>
    <w:rsid w:val="00053392"/>
    <w:rsid w:val="00057914"/>
    <w:rsid w:val="00063D9E"/>
    <w:rsid w:val="00064132"/>
    <w:rsid w:val="00067FB0"/>
    <w:rsid w:val="000963B3"/>
    <w:rsid w:val="00096CB3"/>
    <w:rsid w:val="000A056C"/>
    <w:rsid w:val="000A2A7F"/>
    <w:rsid w:val="000A6A8E"/>
    <w:rsid w:val="000B162D"/>
    <w:rsid w:val="000B490E"/>
    <w:rsid w:val="000C398C"/>
    <w:rsid w:val="000D0627"/>
    <w:rsid w:val="000D56CC"/>
    <w:rsid w:val="000D5D60"/>
    <w:rsid w:val="000F5C29"/>
    <w:rsid w:val="00103ADD"/>
    <w:rsid w:val="00104A24"/>
    <w:rsid w:val="00115550"/>
    <w:rsid w:val="00120B35"/>
    <w:rsid w:val="00140045"/>
    <w:rsid w:val="00140CDA"/>
    <w:rsid w:val="00140F74"/>
    <w:rsid w:val="0014497E"/>
    <w:rsid w:val="001473B0"/>
    <w:rsid w:val="00157DB1"/>
    <w:rsid w:val="00175E48"/>
    <w:rsid w:val="001839D4"/>
    <w:rsid w:val="001907CF"/>
    <w:rsid w:val="0019481B"/>
    <w:rsid w:val="001954C1"/>
    <w:rsid w:val="001B03E2"/>
    <w:rsid w:val="001C38E6"/>
    <w:rsid w:val="001D0581"/>
    <w:rsid w:val="001D21CC"/>
    <w:rsid w:val="001E2A56"/>
    <w:rsid w:val="001F18BA"/>
    <w:rsid w:val="001F3DBC"/>
    <w:rsid w:val="002059B5"/>
    <w:rsid w:val="002077E9"/>
    <w:rsid w:val="00215D6B"/>
    <w:rsid w:val="002243C6"/>
    <w:rsid w:val="00226A69"/>
    <w:rsid w:val="0023693E"/>
    <w:rsid w:val="00241759"/>
    <w:rsid w:val="00245E9E"/>
    <w:rsid w:val="00270A35"/>
    <w:rsid w:val="00273689"/>
    <w:rsid w:val="00284A95"/>
    <w:rsid w:val="002B4394"/>
    <w:rsid w:val="002B51E3"/>
    <w:rsid w:val="002C52FB"/>
    <w:rsid w:val="002C607C"/>
    <w:rsid w:val="002C7397"/>
    <w:rsid w:val="002E252E"/>
    <w:rsid w:val="002E33DD"/>
    <w:rsid w:val="002E5106"/>
    <w:rsid w:val="002F4F46"/>
    <w:rsid w:val="003003E1"/>
    <w:rsid w:val="003004F6"/>
    <w:rsid w:val="00311938"/>
    <w:rsid w:val="003157E6"/>
    <w:rsid w:val="00316074"/>
    <w:rsid w:val="003335E9"/>
    <w:rsid w:val="00333F42"/>
    <w:rsid w:val="003342EB"/>
    <w:rsid w:val="00340986"/>
    <w:rsid w:val="00352EB6"/>
    <w:rsid w:val="00360F3F"/>
    <w:rsid w:val="00366733"/>
    <w:rsid w:val="003715E7"/>
    <w:rsid w:val="00372EE9"/>
    <w:rsid w:val="003776D6"/>
    <w:rsid w:val="003869EB"/>
    <w:rsid w:val="003900DB"/>
    <w:rsid w:val="00391564"/>
    <w:rsid w:val="00391D75"/>
    <w:rsid w:val="00393611"/>
    <w:rsid w:val="003A15EA"/>
    <w:rsid w:val="003B25EE"/>
    <w:rsid w:val="003B5012"/>
    <w:rsid w:val="003C3BB3"/>
    <w:rsid w:val="003C441D"/>
    <w:rsid w:val="003E445A"/>
    <w:rsid w:val="003E4AB7"/>
    <w:rsid w:val="003E5500"/>
    <w:rsid w:val="003E68F6"/>
    <w:rsid w:val="003E7E44"/>
    <w:rsid w:val="003F0140"/>
    <w:rsid w:val="003F4602"/>
    <w:rsid w:val="00400BE8"/>
    <w:rsid w:val="00407488"/>
    <w:rsid w:val="004130A7"/>
    <w:rsid w:val="004274D6"/>
    <w:rsid w:val="00435813"/>
    <w:rsid w:val="00445524"/>
    <w:rsid w:val="00450392"/>
    <w:rsid w:val="004530AF"/>
    <w:rsid w:val="00461F2D"/>
    <w:rsid w:val="00466D8C"/>
    <w:rsid w:val="004728AF"/>
    <w:rsid w:val="004734E8"/>
    <w:rsid w:val="0047442C"/>
    <w:rsid w:val="00477867"/>
    <w:rsid w:val="004857B7"/>
    <w:rsid w:val="004951D6"/>
    <w:rsid w:val="004964B6"/>
    <w:rsid w:val="004A0E60"/>
    <w:rsid w:val="004A30C3"/>
    <w:rsid w:val="004A478F"/>
    <w:rsid w:val="004B0A2B"/>
    <w:rsid w:val="004B7C4C"/>
    <w:rsid w:val="004C2922"/>
    <w:rsid w:val="004D328E"/>
    <w:rsid w:val="004D7A27"/>
    <w:rsid w:val="004E733C"/>
    <w:rsid w:val="004F260B"/>
    <w:rsid w:val="005121EE"/>
    <w:rsid w:val="005139BD"/>
    <w:rsid w:val="00520E23"/>
    <w:rsid w:val="00523890"/>
    <w:rsid w:val="005244BC"/>
    <w:rsid w:val="0052499B"/>
    <w:rsid w:val="00536DE5"/>
    <w:rsid w:val="00544A8C"/>
    <w:rsid w:val="00554318"/>
    <w:rsid w:val="005547BF"/>
    <w:rsid w:val="00574143"/>
    <w:rsid w:val="005811FC"/>
    <w:rsid w:val="005816AE"/>
    <w:rsid w:val="005913EF"/>
    <w:rsid w:val="005A1A9B"/>
    <w:rsid w:val="005A2832"/>
    <w:rsid w:val="005A371B"/>
    <w:rsid w:val="005A6345"/>
    <w:rsid w:val="005B010A"/>
    <w:rsid w:val="005B01EC"/>
    <w:rsid w:val="005C59B5"/>
    <w:rsid w:val="005C5AE5"/>
    <w:rsid w:val="005C6F90"/>
    <w:rsid w:val="005D389A"/>
    <w:rsid w:val="005D5A3E"/>
    <w:rsid w:val="005D5F73"/>
    <w:rsid w:val="005D798C"/>
    <w:rsid w:val="005E1065"/>
    <w:rsid w:val="005E1BE2"/>
    <w:rsid w:val="005E5307"/>
    <w:rsid w:val="005E6282"/>
    <w:rsid w:val="005F0F61"/>
    <w:rsid w:val="005F553C"/>
    <w:rsid w:val="00600572"/>
    <w:rsid w:val="00601258"/>
    <w:rsid w:val="006044BD"/>
    <w:rsid w:val="006105BC"/>
    <w:rsid w:val="00617E30"/>
    <w:rsid w:val="00621CB6"/>
    <w:rsid w:val="006268F7"/>
    <w:rsid w:val="0063033B"/>
    <w:rsid w:val="00630E97"/>
    <w:rsid w:val="00633566"/>
    <w:rsid w:val="00634FEC"/>
    <w:rsid w:val="00636B6C"/>
    <w:rsid w:val="00641FB9"/>
    <w:rsid w:val="00642D32"/>
    <w:rsid w:val="00644B8A"/>
    <w:rsid w:val="006751E7"/>
    <w:rsid w:val="00677946"/>
    <w:rsid w:val="006A0A71"/>
    <w:rsid w:val="006A44EC"/>
    <w:rsid w:val="006A5CAF"/>
    <w:rsid w:val="006C0551"/>
    <w:rsid w:val="006C284F"/>
    <w:rsid w:val="006C4421"/>
    <w:rsid w:val="006C4456"/>
    <w:rsid w:val="006C7927"/>
    <w:rsid w:val="006D244F"/>
    <w:rsid w:val="006D4416"/>
    <w:rsid w:val="006E2BE7"/>
    <w:rsid w:val="006F680D"/>
    <w:rsid w:val="007017E4"/>
    <w:rsid w:val="00710DED"/>
    <w:rsid w:val="00715D02"/>
    <w:rsid w:val="00722799"/>
    <w:rsid w:val="007239CF"/>
    <w:rsid w:val="00724BD2"/>
    <w:rsid w:val="007255B6"/>
    <w:rsid w:val="0073689C"/>
    <w:rsid w:val="00736D30"/>
    <w:rsid w:val="00737D07"/>
    <w:rsid w:val="00740934"/>
    <w:rsid w:val="00742DC9"/>
    <w:rsid w:val="007436E7"/>
    <w:rsid w:val="00747441"/>
    <w:rsid w:val="007518C3"/>
    <w:rsid w:val="00754A01"/>
    <w:rsid w:val="007559B7"/>
    <w:rsid w:val="00757902"/>
    <w:rsid w:val="00766D7C"/>
    <w:rsid w:val="00771DB4"/>
    <w:rsid w:val="00776EA6"/>
    <w:rsid w:val="007A6D75"/>
    <w:rsid w:val="007B19A8"/>
    <w:rsid w:val="007B33A1"/>
    <w:rsid w:val="007C03BD"/>
    <w:rsid w:val="007C0506"/>
    <w:rsid w:val="007D259A"/>
    <w:rsid w:val="007D375A"/>
    <w:rsid w:val="007E1FFF"/>
    <w:rsid w:val="007E248F"/>
    <w:rsid w:val="00801CE1"/>
    <w:rsid w:val="00804628"/>
    <w:rsid w:val="00804F0C"/>
    <w:rsid w:val="00805750"/>
    <w:rsid w:val="00813407"/>
    <w:rsid w:val="00826C03"/>
    <w:rsid w:val="00833EBF"/>
    <w:rsid w:val="00842489"/>
    <w:rsid w:val="00854B40"/>
    <w:rsid w:val="008567AD"/>
    <w:rsid w:val="00857305"/>
    <w:rsid w:val="00862B53"/>
    <w:rsid w:val="0087358F"/>
    <w:rsid w:val="00883212"/>
    <w:rsid w:val="008A4FF5"/>
    <w:rsid w:val="008A7B88"/>
    <w:rsid w:val="008B2280"/>
    <w:rsid w:val="008C51A5"/>
    <w:rsid w:val="008D071C"/>
    <w:rsid w:val="008D2CF9"/>
    <w:rsid w:val="008D38AB"/>
    <w:rsid w:val="008E3AE2"/>
    <w:rsid w:val="008F18A6"/>
    <w:rsid w:val="00906D9B"/>
    <w:rsid w:val="009153CD"/>
    <w:rsid w:val="00923C5F"/>
    <w:rsid w:val="00934486"/>
    <w:rsid w:val="00937F31"/>
    <w:rsid w:val="00946A71"/>
    <w:rsid w:val="00953199"/>
    <w:rsid w:val="00957F35"/>
    <w:rsid w:val="0096164A"/>
    <w:rsid w:val="009645F0"/>
    <w:rsid w:val="00981D42"/>
    <w:rsid w:val="00983126"/>
    <w:rsid w:val="00985DA1"/>
    <w:rsid w:val="009867EC"/>
    <w:rsid w:val="00991055"/>
    <w:rsid w:val="009B36D8"/>
    <w:rsid w:val="009B44A4"/>
    <w:rsid w:val="009D4B03"/>
    <w:rsid w:val="009D7EE7"/>
    <w:rsid w:val="00A02D6D"/>
    <w:rsid w:val="00A03D24"/>
    <w:rsid w:val="00A14ADF"/>
    <w:rsid w:val="00A16DC9"/>
    <w:rsid w:val="00A2432B"/>
    <w:rsid w:val="00A40A13"/>
    <w:rsid w:val="00A44418"/>
    <w:rsid w:val="00A47F03"/>
    <w:rsid w:val="00A51DD9"/>
    <w:rsid w:val="00A535D7"/>
    <w:rsid w:val="00A77459"/>
    <w:rsid w:val="00A77DB6"/>
    <w:rsid w:val="00A83F04"/>
    <w:rsid w:val="00AA0EF5"/>
    <w:rsid w:val="00AA4917"/>
    <w:rsid w:val="00AC1B27"/>
    <w:rsid w:val="00AD55E8"/>
    <w:rsid w:val="00AD6E44"/>
    <w:rsid w:val="00AE257E"/>
    <w:rsid w:val="00AE585C"/>
    <w:rsid w:val="00B000AB"/>
    <w:rsid w:val="00B23A00"/>
    <w:rsid w:val="00B2697A"/>
    <w:rsid w:val="00B377A5"/>
    <w:rsid w:val="00B3780D"/>
    <w:rsid w:val="00B43DC8"/>
    <w:rsid w:val="00B46B17"/>
    <w:rsid w:val="00B5231B"/>
    <w:rsid w:val="00B52DBB"/>
    <w:rsid w:val="00B53927"/>
    <w:rsid w:val="00B53D0F"/>
    <w:rsid w:val="00B71EDC"/>
    <w:rsid w:val="00B72D69"/>
    <w:rsid w:val="00B75097"/>
    <w:rsid w:val="00B758E4"/>
    <w:rsid w:val="00B81046"/>
    <w:rsid w:val="00BA37F4"/>
    <w:rsid w:val="00BB6D05"/>
    <w:rsid w:val="00BB7323"/>
    <w:rsid w:val="00BC2514"/>
    <w:rsid w:val="00BC7C37"/>
    <w:rsid w:val="00BD3234"/>
    <w:rsid w:val="00BD4D67"/>
    <w:rsid w:val="00BD6D67"/>
    <w:rsid w:val="00BE7567"/>
    <w:rsid w:val="00BF0483"/>
    <w:rsid w:val="00BF40C9"/>
    <w:rsid w:val="00BF74B8"/>
    <w:rsid w:val="00C04690"/>
    <w:rsid w:val="00C26B4F"/>
    <w:rsid w:val="00C41E8E"/>
    <w:rsid w:val="00C46AF9"/>
    <w:rsid w:val="00C634DA"/>
    <w:rsid w:val="00C64B1D"/>
    <w:rsid w:val="00C75553"/>
    <w:rsid w:val="00C85DC7"/>
    <w:rsid w:val="00C87335"/>
    <w:rsid w:val="00C906A9"/>
    <w:rsid w:val="00C91C6F"/>
    <w:rsid w:val="00C9261A"/>
    <w:rsid w:val="00C964CC"/>
    <w:rsid w:val="00CB790B"/>
    <w:rsid w:val="00CC01ED"/>
    <w:rsid w:val="00CC4428"/>
    <w:rsid w:val="00CD036F"/>
    <w:rsid w:val="00CD7DF7"/>
    <w:rsid w:val="00CE0D7F"/>
    <w:rsid w:val="00CF703B"/>
    <w:rsid w:val="00D162ED"/>
    <w:rsid w:val="00D223C9"/>
    <w:rsid w:val="00D23521"/>
    <w:rsid w:val="00D2751C"/>
    <w:rsid w:val="00D41E03"/>
    <w:rsid w:val="00D43974"/>
    <w:rsid w:val="00D467A4"/>
    <w:rsid w:val="00D507E4"/>
    <w:rsid w:val="00D57F19"/>
    <w:rsid w:val="00D61288"/>
    <w:rsid w:val="00D67A0B"/>
    <w:rsid w:val="00D7487F"/>
    <w:rsid w:val="00D87041"/>
    <w:rsid w:val="00D91DEE"/>
    <w:rsid w:val="00D926C8"/>
    <w:rsid w:val="00D95EC1"/>
    <w:rsid w:val="00DA3C12"/>
    <w:rsid w:val="00DA3EAD"/>
    <w:rsid w:val="00DB0722"/>
    <w:rsid w:val="00DB4F8C"/>
    <w:rsid w:val="00DB71C7"/>
    <w:rsid w:val="00DC3DA9"/>
    <w:rsid w:val="00DC608C"/>
    <w:rsid w:val="00DC6145"/>
    <w:rsid w:val="00DD1089"/>
    <w:rsid w:val="00DD1CDD"/>
    <w:rsid w:val="00DD2ECB"/>
    <w:rsid w:val="00DD4B4B"/>
    <w:rsid w:val="00DD5E01"/>
    <w:rsid w:val="00DE1A20"/>
    <w:rsid w:val="00DE3E67"/>
    <w:rsid w:val="00DE6DE9"/>
    <w:rsid w:val="00E039AC"/>
    <w:rsid w:val="00E03BBF"/>
    <w:rsid w:val="00E14CEF"/>
    <w:rsid w:val="00E158BE"/>
    <w:rsid w:val="00E16BD3"/>
    <w:rsid w:val="00E25B4A"/>
    <w:rsid w:val="00E34B0B"/>
    <w:rsid w:val="00E45373"/>
    <w:rsid w:val="00E513D6"/>
    <w:rsid w:val="00E56D2E"/>
    <w:rsid w:val="00E63E5F"/>
    <w:rsid w:val="00E761AC"/>
    <w:rsid w:val="00E77E0F"/>
    <w:rsid w:val="00E8318A"/>
    <w:rsid w:val="00E90AE1"/>
    <w:rsid w:val="00E937EA"/>
    <w:rsid w:val="00E94C34"/>
    <w:rsid w:val="00EA1905"/>
    <w:rsid w:val="00EB340F"/>
    <w:rsid w:val="00EC74B7"/>
    <w:rsid w:val="00ED326A"/>
    <w:rsid w:val="00ED4C2B"/>
    <w:rsid w:val="00ED567F"/>
    <w:rsid w:val="00EE76E1"/>
    <w:rsid w:val="00EF2C0D"/>
    <w:rsid w:val="00EF710E"/>
    <w:rsid w:val="00F05F97"/>
    <w:rsid w:val="00F06178"/>
    <w:rsid w:val="00F101EF"/>
    <w:rsid w:val="00F12B0B"/>
    <w:rsid w:val="00F25B37"/>
    <w:rsid w:val="00F25ED9"/>
    <w:rsid w:val="00F343D2"/>
    <w:rsid w:val="00F353D3"/>
    <w:rsid w:val="00F4318B"/>
    <w:rsid w:val="00F4390B"/>
    <w:rsid w:val="00F50083"/>
    <w:rsid w:val="00F5452D"/>
    <w:rsid w:val="00F54929"/>
    <w:rsid w:val="00F54E52"/>
    <w:rsid w:val="00F55071"/>
    <w:rsid w:val="00F6451A"/>
    <w:rsid w:val="00F65FC2"/>
    <w:rsid w:val="00F74BD2"/>
    <w:rsid w:val="00F87A69"/>
    <w:rsid w:val="00FA3BE1"/>
    <w:rsid w:val="00FB0B35"/>
    <w:rsid w:val="00FB217D"/>
    <w:rsid w:val="00FB3AFE"/>
    <w:rsid w:val="00FC7F7E"/>
    <w:rsid w:val="00FD2CF1"/>
    <w:rsid w:val="00FD4375"/>
    <w:rsid w:val="00FD7487"/>
    <w:rsid w:val="00FE5437"/>
    <w:rsid w:val="00FE5470"/>
    <w:rsid w:val="00FF0F78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1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61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1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61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6145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i/>
      <w:snapToGrid w:val="0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145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C6145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C6145"/>
    <w:rPr>
      <w:rFonts w:ascii="Times New Roman" w:eastAsia="Times New Roman" w:hAnsi="Times New Roman" w:cs="Times New Roman"/>
      <w:i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C6145"/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C6145"/>
    <w:rPr>
      <w:rFonts w:ascii="Times New Roman" w:eastAsia="Times New Roman" w:hAnsi="Times New Roman" w:cs="Times New Roman"/>
      <w:b/>
      <w:i/>
      <w:snapToGrid w:val="0"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6145"/>
  </w:style>
  <w:style w:type="paragraph" w:styleId="a3">
    <w:name w:val="Body Text"/>
    <w:basedOn w:val="a"/>
    <w:link w:val="a4"/>
    <w:semiHidden/>
    <w:rsid w:val="00DC6145"/>
    <w:pPr>
      <w:widowControl w:val="0"/>
      <w:shd w:val="clear" w:color="auto" w:fill="FFFFFF"/>
      <w:tabs>
        <w:tab w:val="left" w:pos="510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C614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DC614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C6145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semiHidden/>
    <w:rsid w:val="00DC61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C61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DC614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C614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Normal (Web)"/>
    <w:basedOn w:val="a"/>
    <w:rsid w:val="00DC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semiHidden/>
    <w:rsid w:val="00DC61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DC61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DC61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C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DC61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61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semiHidden/>
    <w:rsid w:val="00DC6145"/>
    <w:pPr>
      <w:tabs>
        <w:tab w:val="center" w:pos="4153"/>
        <w:tab w:val="right" w:pos="8306"/>
      </w:tabs>
      <w:spacing w:after="0" w:line="240" w:lineRule="auto"/>
    </w:pPr>
    <w:rPr>
      <w:rFonts w:ascii="Baltica" w:eastAsia="Times New Roman" w:hAnsi="Baltica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DC6145"/>
    <w:rPr>
      <w:rFonts w:ascii="Baltica" w:eastAsia="Times New Roman" w:hAnsi="Baltica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C6145"/>
    <w:pPr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6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Document Map"/>
    <w:basedOn w:val="a"/>
    <w:link w:val="af"/>
    <w:semiHidden/>
    <w:rsid w:val="00DC6145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DC61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0">
    <w:name w:val="Знак Знак"/>
    <w:semiHidden/>
    <w:rsid w:val="00DC6145"/>
    <w:rPr>
      <w:rFonts w:ascii="Courier New" w:hAnsi="Courier New" w:cs="Courier New"/>
      <w:noProof w:val="0"/>
      <w:lang w:val="ru-RU" w:eastAsia="ru-RU" w:bidi="ar-SA"/>
    </w:rPr>
  </w:style>
  <w:style w:type="paragraph" w:styleId="af1">
    <w:name w:val="footer"/>
    <w:basedOn w:val="a"/>
    <w:link w:val="af2"/>
    <w:uiPriority w:val="99"/>
    <w:rsid w:val="00DC6145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C6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semiHidden/>
    <w:rsid w:val="00DC6145"/>
  </w:style>
  <w:style w:type="paragraph" w:customStyle="1" w:styleId="51">
    <w:name w:val="Основной текст5"/>
    <w:basedOn w:val="a"/>
    <w:uiPriority w:val="99"/>
    <w:rsid w:val="00DC6145"/>
    <w:pPr>
      <w:shd w:val="clear" w:color="auto" w:fill="FFFFFF"/>
      <w:spacing w:after="0" w:line="211" w:lineRule="exact"/>
      <w:ind w:hanging="1620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styleId="af4">
    <w:name w:val="annotation reference"/>
    <w:uiPriority w:val="99"/>
    <w:semiHidden/>
    <w:unhideWhenUsed/>
    <w:rsid w:val="00DC61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C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C6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C61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C61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40934"/>
    <w:pPr>
      <w:ind w:left="720"/>
      <w:contextualSpacing/>
    </w:pPr>
  </w:style>
  <w:style w:type="table" w:styleId="afa">
    <w:name w:val="Table Grid"/>
    <w:basedOn w:val="a1"/>
    <w:uiPriority w:val="59"/>
    <w:rsid w:val="004B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3776D6"/>
    <w:rPr>
      <w:color w:val="0000FF"/>
      <w:u w:val="single"/>
    </w:rPr>
  </w:style>
  <w:style w:type="paragraph" w:styleId="afc">
    <w:name w:val="Revision"/>
    <w:hidden/>
    <w:uiPriority w:val="99"/>
    <w:semiHidden/>
    <w:rsid w:val="007E1F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61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61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C61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C614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C6145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i/>
      <w:snapToGrid w:val="0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145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C6145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C6145"/>
    <w:rPr>
      <w:rFonts w:ascii="Times New Roman" w:eastAsia="Times New Roman" w:hAnsi="Times New Roman" w:cs="Times New Roman"/>
      <w:i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DC6145"/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C6145"/>
    <w:rPr>
      <w:rFonts w:ascii="Times New Roman" w:eastAsia="Times New Roman" w:hAnsi="Times New Roman" w:cs="Times New Roman"/>
      <w:b/>
      <w:i/>
      <w:snapToGrid w:val="0"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6145"/>
  </w:style>
  <w:style w:type="paragraph" w:styleId="a3">
    <w:name w:val="Body Text"/>
    <w:basedOn w:val="a"/>
    <w:link w:val="a4"/>
    <w:semiHidden/>
    <w:rsid w:val="00DC6145"/>
    <w:pPr>
      <w:widowControl w:val="0"/>
      <w:shd w:val="clear" w:color="auto" w:fill="FFFFFF"/>
      <w:tabs>
        <w:tab w:val="left" w:pos="510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C614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DC614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C6145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semiHidden/>
    <w:rsid w:val="00DC61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DC61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DC614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C614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Normal (Web)"/>
    <w:basedOn w:val="a"/>
    <w:rsid w:val="00DC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Plain Text"/>
    <w:basedOn w:val="a"/>
    <w:link w:val="ab"/>
    <w:semiHidden/>
    <w:rsid w:val="00DC61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DC61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DC614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DC61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DC61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61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semiHidden/>
    <w:rsid w:val="00DC6145"/>
    <w:pPr>
      <w:tabs>
        <w:tab w:val="center" w:pos="4153"/>
        <w:tab w:val="right" w:pos="8306"/>
      </w:tabs>
      <w:spacing w:after="0" w:line="240" w:lineRule="auto"/>
    </w:pPr>
    <w:rPr>
      <w:rFonts w:ascii="Baltica" w:eastAsia="Times New Roman" w:hAnsi="Baltica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semiHidden/>
    <w:rsid w:val="00DC6145"/>
    <w:rPr>
      <w:rFonts w:ascii="Baltica" w:eastAsia="Times New Roman" w:hAnsi="Baltica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C6145"/>
    <w:pPr>
      <w:spacing w:after="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61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Document Map"/>
    <w:basedOn w:val="a"/>
    <w:link w:val="af"/>
    <w:semiHidden/>
    <w:rsid w:val="00DC6145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DC61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0">
    <w:name w:val="Знак Знак"/>
    <w:semiHidden/>
    <w:rsid w:val="00DC6145"/>
    <w:rPr>
      <w:rFonts w:ascii="Courier New" w:hAnsi="Courier New" w:cs="Courier New"/>
      <w:noProof w:val="0"/>
      <w:lang w:val="ru-RU" w:eastAsia="ru-RU" w:bidi="ar-SA"/>
    </w:rPr>
  </w:style>
  <w:style w:type="paragraph" w:styleId="af1">
    <w:name w:val="footer"/>
    <w:basedOn w:val="a"/>
    <w:link w:val="af2"/>
    <w:uiPriority w:val="99"/>
    <w:rsid w:val="00DC6145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C61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semiHidden/>
    <w:rsid w:val="00DC6145"/>
  </w:style>
  <w:style w:type="paragraph" w:customStyle="1" w:styleId="51">
    <w:name w:val="Основной текст5"/>
    <w:basedOn w:val="a"/>
    <w:uiPriority w:val="99"/>
    <w:rsid w:val="00DC6145"/>
    <w:pPr>
      <w:shd w:val="clear" w:color="auto" w:fill="FFFFFF"/>
      <w:spacing w:after="0" w:line="211" w:lineRule="exact"/>
      <w:ind w:hanging="1620"/>
    </w:pPr>
    <w:rPr>
      <w:rFonts w:ascii="Times New Roman" w:eastAsia="Times New Roman" w:hAnsi="Times New Roman" w:cs="Times New Roman"/>
      <w:sz w:val="17"/>
      <w:szCs w:val="20"/>
      <w:lang w:eastAsia="ru-RU"/>
    </w:rPr>
  </w:style>
  <w:style w:type="character" w:styleId="af4">
    <w:name w:val="annotation reference"/>
    <w:uiPriority w:val="99"/>
    <w:semiHidden/>
    <w:unhideWhenUsed/>
    <w:rsid w:val="00DC614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C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C61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C614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C61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740934"/>
    <w:pPr>
      <w:ind w:left="720"/>
      <w:contextualSpacing/>
    </w:pPr>
  </w:style>
  <w:style w:type="table" w:styleId="afa">
    <w:name w:val="Table Grid"/>
    <w:basedOn w:val="a1"/>
    <w:uiPriority w:val="59"/>
    <w:rsid w:val="004B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semiHidden/>
    <w:unhideWhenUsed/>
    <w:rsid w:val="003776D6"/>
    <w:rPr>
      <w:color w:val="0000FF"/>
      <w:u w:val="single"/>
    </w:rPr>
  </w:style>
  <w:style w:type="paragraph" w:styleId="afc">
    <w:name w:val="Revision"/>
    <w:hidden/>
    <w:uiPriority w:val="99"/>
    <w:semiHidden/>
    <w:rsid w:val="007E1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58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7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5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54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201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79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530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305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632745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0333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39747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8819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0087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6807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5501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53720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32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25235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89268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0927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8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23191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027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5629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5972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61910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465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1690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3032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1223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498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9673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74553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2263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3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34D15-5D1A-416C-8228-CC7A899E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32</Pages>
  <Words>11378</Words>
  <Characters>64855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76081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Сычкова Ирина Викторовна</dc:creator>
  <cp:lastModifiedBy>Жукова Ирина Александровна</cp:lastModifiedBy>
  <cp:revision>40</cp:revision>
  <cp:lastPrinted>2018-10-31T08:58:00Z</cp:lastPrinted>
  <dcterms:created xsi:type="dcterms:W3CDTF">2018-10-24T10:44:00Z</dcterms:created>
  <dcterms:modified xsi:type="dcterms:W3CDTF">2019-08-02T09:40:00Z</dcterms:modified>
</cp:coreProperties>
</file>