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65" w:rsidRPr="00B11D1D" w:rsidRDefault="009A1065" w:rsidP="009A1065">
      <w:pPr>
        <w:pStyle w:val="a3"/>
        <w:tabs>
          <w:tab w:val="left" w:pos="10080"/>
        </w:tabs>
        <w:ind w:left="567" w:right="567"/>
      </w:pPr>
      <w:r w:rsidRPr="00B11D1D">
        <w:t>МИНИСТЕРСТВО ЗДРАВООХРАНЕНИЯ РОССИЙСКОЙ ФЕДЕРАЦИИ</w:t>
      </w:r>
    </w:p>
    <w:p w:rsidR="009A1065" w:rsidRPr="00B11D1D" w:rsidRDefault="009A1065" w:rsidP="009A1065">
      <w:pPr>
        <w:pStyle w:val="a3"/>
        <w:ind w:left="567" w:right="567"/>
        <w:rPr>
          <w:b/>
        </w:rPr>
      </w:pPr>
    </w:p>
    <w:p w:rsidR="009A1065" w:rsidRPr="00B11D1D" w:rsidRDefault="009A1065" w:rsidP="009A1065">
      <w:pPr>
        <w:pStyle w:val="a3"/>
        <w:ind w:left="567" w:right="567"/>
        <w:rPr>
          <w:b/>
        </w:rPr>
      </w:pPr>
      <w:r w:rsidRPr="00B11D1D">
        <w:rPr>
          <w:b/>
        </w:rPr>
        <w:t>ИНСТРУКЦИЯ</w:t>
      </w:r>
    </w:p>
    <w:p w:rsidR="009A1065" w:rsidRPr="00B11D1D" w:rsidRDefault="009A1065" w:rsidP="009A1065">
      <w:pPr>
        <w:ind w:left="567" w:right="567"/>
        <w:jc w:val="center"/>
        <w:rPr>
          <w:sz w:val="24"/>
        </w:rPr>
      </w:pPr>
      <w:r w:rsidRPr="00B11D1D">
        <w:rPr>
          <w:sz w:val="24"/>
        </w:rPr>
        <w:t>по применению лекарственного препарата для медицинского применения</w:t>
      </w:r>
    </w:p>
    <w:p w:rsidR="009A1065" w:rsidRPr="00B11D1D" w:rsidRDefault="009A1065" w:rsidP="009A1065">
      <w:pPr>
        <w:ind w:left="567" w:right="567"/>
        <w:jc w:val="center"/>
        <w:rPr>
          <w:sz w:val="24"/>
        </w:rPr>
      </w:pPr>
    </w:p>
    <w:p w:rsidR="009A1065" w:rsidRPr="00B11D1D" w:rsidRDefault="009A1065" w:rsidP="009A1065">
      <w:pPr>
        <w:ind w:left="567" w:right="567"/>
        <w:jc w:val="center"/>
        <w:rPr>
          <w:sz w:val="24"/>
        </w:rPr>
      </w:pPr>
    </w:p>
    <w:p w:rsidR="009A1065" w:rsidRPr="00B11D1D" w:rsidRDefault="009A1065" w:rsidP="009A1065">
      <w:pPr>
        <w:pStyle w:val="1"/>
        <w:ind w:left="567" w:right="567"/>
      </w:pPr>
      <w:proofErr w:type="spellStart"/>
      <w:r w:rsidRPr="00B11D1D">
        <w:t>Лозартан</w:t>
      </w:r>
      <w:proofErr w:type="spellEnd"/>
    </w:p>
    <w:p w:rsidR="009A1065" w:rsidRPr="00B11D1D" w:rsidRDefault="009A1065" w:rsidP="009A1065">
      <w:pPr>
        <w:pStyle w:val="11"/>
      </w:pPr>
    </w:p>
    <w:p w:rsidR="009A1065" w:rsidRPr="00B11D1D" w:rsidRDefault="009A1065" w:rsidP="009A1065">
      <w:pPr>
        <w:pStyle w:val="11"/>
        <w:rPr>
          <w:b/>
          <w:color w:val="auto"/>
        </w:rPr>
      </w:pPr>
    </w:p>
    <w:p w:rsidR="009A1065" w:rsidRPr="00B236F5" w:rsidRDefault="009A1065" w:rsidP="009A1065">
      <w:pPr>
        <w:pStyle w:val="11"/>
        <w:rPr>
          <w:color w:val="auto"/>
        </w:rPr>
      </w:pPr>
      <w:r w:rsidRPr="00B11D1D">
        <w:rPr>
          <w:b/>
          <w:color w:val="auto"/>
        </w:rPr>
        <w:t>Регистрационный номер:</w:t>
      </w:r>
      <w:r w:rsidR="00B236F5">
        <w:rPr>
          <w:b/>
          <w:color w:val="auto"/>
        </w:rPr>
        <w:t xml:space="preserve"> </w:t>
      </w:r>
      <w:r w:rsidR="00B236F5" w:rsidRPr="00B236F5">
        <w:rPr>
          <w:color w:val="auto"/>
        </w:rPr>
        <w:t>ЛП-002443 от 29.04.2014</w:t>
      </w:r>
    </w:p>
    <w:p w:rsidR="009A1065" w:rsidRPr="00B11D1D" w:rsidRDefault="009A1065" w:rsidP="009A1065">
      <w:pPr>
        <w:pStyle w:val="11"/>
        <w:rPr>
          <w:color w:val="auto"/>
        </w:rPr>
      </w:pPr>
      <w:r w:rsidRPr="00B11D1D">
        <w:rPr>
          <w:b/>
          <w:color w:val="auto"/>
        </w:rPr>
        <w:t xml:space="preserve">Торговое название: </w:t>
      </w:r>
      <w:proofErr w:type="spellStart"/>
      <w:r w:rsidRPr="00B11D1D">
        <w:rPr>
          <w:color w:val="auto"/>
        </w:rPr>
        <w:t>Лозартан</w:t>
      </w:r>
      <w:proofErr w:type="spellEnd"/>
    </w:p>
    <w:p w:rsidR="009A1065" w:rsidRPr="00B11D1D" w:rsidRDefault="009A1065" w:rsidP="009A1065">
      <w:pPr>
        <w:pStyle w:val="11"/>
        <w:rPr>
          <w:color w:val="auto"/>
          <w:sz w:val="27"/>
          <w:szCs w:val="27"/>
          <w:shd w:val="clear" w:color="auto" w:fill="FFFFFF"/>
        </w:rPr>
      </w:pPr>
      <w:r w:rsidRPr="00B11D1D">
        <w:rPr>
          <w:b/>
          <w:color w:val="auto"/>
        </w:rPr>
        <w:t>Международное непатентованное название</w:t>
      </w:r>
      <w:r w:rsidRPr="00B11D1D">
        <w:rPr>
          <w:color w:val="auto"/>
          <w:sz w:val="27"/>
          <w:szCs w:val="27"/>
          <w:shd w:val="clear" w:color="auto" w:fill="FFFFFF"/>
        </w:rPr>
        <w:t xml:space="preserve">: </w:t>
      </w:r>
      <w:proofErr w:type="spellStart"/>
      <w:r w:rsidRPr="00B11D1D">
        <w:rPr>
          <w:color w:val="auto"/>
        </w:rPr>
        <w:t>лозартан</w:t>
      </w:r>
      <w:proofErr w:type="spellEnd"/>
    </w:p>
    <w:p w:rsidR="009A1065" w:rsidRPr="00B11D1D" w:rsidRDefault="009A1065" w:rsidP="009A1065">
      <w:pPr>
        <w:pStyle w:val="11"/>
        <w:rPr>
          <w:color w:val="auto"/>
        </w:rPr>
      </w:pPr>
      <w:r w:rsidRPr="00B11D1D">
        <w:rPr>
          <w:b/>
          <w:color w:val="auto"/>
        </w:rPr>
        <w:t>Лекарственная форма</w:t>
      </w:r>
      <w:r w:rsidRPr="00B11D1D">
        <w:rPr>
          <w:color w:val="auto"/>
        </w:rPr>
        <w:t>: таблетки, покрытые пленочной оболочкой</w:t>
      </w:r>
    </w:p>
    <w:p w:rsidR="009A1065" w:rsidRPr="00B11D1D" w:rsidRDefault="009A1065" w:rsidP="009A1065">
      <w:pPr>
        <w:pStyle w:val="11"/>
        <w:rPr>
          <w:color w:val="auto"/>
        </w:rPr>
      </w:pPr>
    </w:p>
    <w:p w:rsidR="009A1065" w:rsidRPr="00B11D1D" w:rsidRDefault="009A1065" w:rsidP="009A1065">
      <w:pPr>
        <w:pStyle w:val="11"/>
        <w:rPr>
          <w:b/>
          <w:color w:val="auto"/>
        </w:rPr>
      </w:pPr>
      <w:r w:rsidRPr="00B11D1D">
        <w:rPr>
          <w:b/>
          <w:color w:val="auto"/>
        </w:rPr>
        <w:t>Состав</w:t>
      </w:r>
    </w:p>
    <w:p w:rsidR="009A1065" w:rsidRPr="00B11D1D" w:rsidRDefault="009A1065" w:rsidP="009A1065">
      <w:pPr>
        <w:pStyle w:val="a6"/>
        <w:suppressAutoHyphens/>
        <w:jc w:val="both"/>
        <w:rPr>
          <w:sz w:val="24"/>
          <w:szCs w:val="24"/>
        </w:rPr>
      </w:pPr>
      <w:r w:rsidRPr="00B11D1D">
        <w:rPr>
          <w:sz w:val="24"/>
          <w:szCs w:val="24"/>
        </w:rPr>
        <w:t xml:space="preserve">Одна таблетка, покрытая пленочной оболочкой, содержит: </w:t>
      </w:r>
    </w:p>
    <w:p w:rsidR="009A1065" w:rsidRPr="00B11D1D" w:rsidRDefault="009A1065" w:rsidP="009A1065">
      <w:pPr>
        <w:pStyle w:val="a6"/>
        <w:suppressAutoHyphens/>
        <w:jc w:val="both"/>
        <w:rPr>
          <w:sz w:val="24"/>
          <w:szCs w:val="24"/>
          <w:u w:val="single"/>
        </w:rPr>
      </w:pPr>
      <w:r w:rsidRPr="00B11D1D">
        <w:rPr>
          <w:sz w:val="24"/>
          <w:szCs w:val="24"/>
          <w:u w:val="single"/>
        </w:rPr>
        <w:t xml:space="preserve"> </w:t>
      </w:r>
    </w:p>
    <w:p w:rsidR="009A1065" w:rsidRPr="00707204" w:rsidRDefault="009A1065" w:rsidP="009A1065">
      <w:pPr>
        <w:pStyle w:val="a6"/>
        <w:suppressAutoHyphens/>
        <w:jc w:val="both"/>
        <w:rPr>
          <w:sz w:val="24"/>
          <w:szCs w:val="24"/>
          <w:u w:val="single"/>
        </w:rPr>
      </w:pPr>
      <w:r w:rsidRPr="00707204">
        <w:rPr>
          <w:sz w:val="24"/>
          <w:szCs w:val="24"/>
          <w:u w:val="single"/>
        </w:rPr>
        <w:t>Дозировка 12,5 мг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07204">
        <w:rPr>
          <w:i/>
        </w:rPr>
        <w:t>активное вещество</w:t>
      </w:r>
      <w:r w:rsidRPr="007E31B1">
        <w:t>:</w:t>
      </w:r>
      <w:r w:rsidRPr="00CE4076">
        <w:t xml:space="preserve"> </w:t>
      </w:r>
      <w:proofErr w:type="spellStart"/>
      <w:r w:rsidRPr="00CE4076">
        <w:t>лозартан</w:t>
      </w:r>
      <w:proofErr w:type="spellEnd"/>
      <w:r w:rsidRPr="00CE4076">
        <w:t xml:space="preserve"> калия </w:t>
      </w:r>
      <w:r w:rsidRPr="007E31B1">
        <w:t>−</w:t>
      </w:r>
      <w:r w:rsidRPr="00CE4076">
        <w:t xml:space="preserve"> 12,500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CE4076">
        <w:rPr>
          <w:i/>
        </w:rPr>
        <w:t>вспомогательные вещества</w:t>
      </w:r>
      <w:r w:rsidRPr="007E31B1">
        <w:t>:</w:t>
      </w:r>
      <w:r w:rsidRPr="00CE4076">
        <w:t xml:space="preserve"> лактозы моногидрат </w:t>
      </w:r>
      <w:r w:rsidRPr="007E31B1">
        <w:t>−</w:t>
      </w:r>
      <w:r w:rsidRPr="00CE4076">
        <w:t xml:space="preserve"> 58,600 мг, целлюлоза микрокристаллическая </w:t>
      </w:r>
      <w:r w:rsidRPr="007E31B1">
        <w:t>−</w:t>
      </w:r>
      <w:r w:rsidRPr="00CE4076">
        <w:t xml:space="preserve"> 20,000 мг, </w:t>
      </w:r>
      <w:proofErr w:type="spellStart"/>
      <w:r w:rsidRPr="00CE4076">
        <w:t>кроскармеллоза</w:t>
      </w:r>
      <w:proofErr w:type="spellEnd"/>
      <w:r w:rsidRPr="00CE4076">
        <w:t xml:space="preserve"> натрия </w:t>
      </w:r>
      <w:r w:rsidRPr="007E31B1">
        <w:t>−</w:t>
      </w:r>
      <w:r w:rsidRPr="00CE4076">
        <w:t xml:space="preserve"> 4,000 мг, </w:t>
      </w:r>
      <w:proofErr w:type="spellStart"/>
      <w:r w:rsidRPr="00CE4076">
        <w:t>повидон</w:t>
      </w:r>
      <w:proofErr w:type="spellEnd"/>
      <w:r w:rsidRPr="00CE4076">
        <w:t xml:space="preserve"> (</w:t>
      </w:r>
      <w:proofErr w:type="spellStart"/>
      <w:r w:rsidRPr="00CE4076">
        <w:t>поливинилпирролидон</w:t>
      </w:r>
      <w:proofErr w:type="spellEnd"/>
      <w:r w:rsidRPr="00CE4076">
        <w:t xml:space="preserve"> низкомолекулярный) </w:t>
      </w:r>
      <w:r w:rsidRPr="007E31B1">
        <w:t>−</w:t>
      </w:r>
      <w:r w:rsidRPr="00CE4076">
        <w:t xml:space="preserve"> 3,200</w:t>
      </w:r>
      <w:r w:rsidRPr="009C0B25">
        <w:t xml:space="preserve"> мг, кремния диоксид коллоидный </w:t>
      </w:r>
      <w:r w:rsidRPr="007E31B1">
        <w:t>−</w:t>
      </w:r>
      <w:r w:rsidRPr="00CE4076">
        <w:t xml:space="preserve"> </w:t>
      </w:r>
      <w:r w:rsidRPr="00CE4076">
        <w:br/>
        <w:t xml:space="preserve">0,700 мг, магния </w:t>
      </w:r>
      <w:proofErr w:type="spellStart"/>
      <w:r w:rsidRPr="00CE4076">
        <w:t>стеарат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1,000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CE4076">
        <w:rPr>
          <w:i/>
        </w:rPr>
        <w:t>пленочная оболочка</w:t>
      </w:r>
      <w:r w:rsidRPr="007E31B1">
        <w:t>:</w:t>
      </w:r>
      <w:r w:rsidRPr="00CE4076">
        <w:t xml:space="preserve"> [</w:t>
      </w:r>
      <w:proofErr w:type="spellStart"/>
      <w:r w:rsidRPr="00CE4076">
        <w:t>гипромеллоза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1,800 мг, тальк </w:t>
      </w:r>
      <w:r w:rsidRPr="007E31B1">
        <w:t>−</w:t>
      </w:r>
      <w:r w:rsidRPr="00CE4076">
        <w:t xml:space="preserve"> 0,600 мг, титана диоксид </w:t>
      </w:r>
      <w:r w:rsidRPr="007E31B1">
        <w:t>−</w:t>
      </w:r>
      <w:r w:rsidRPr="00CE4076">
        <w:t xml:space="preserve"> </w:t>
      </w:r>
      <w:r w:rsidRPr="00CE4076">
        <w:br/>
        <w:t xml:space="preserve">0,330 мг, </w:t>
      </w:r>
      <w:proofErr w:type="spellStart"/>
      <w:r w:rsidRPr="00CE4076">
        <w:t>макрогол</w:t>
      </w:r>
      <w:proofErr w:type="spellEnd"/>
      <w:r w:rsidRPr="00CE4076">
        <w:t xml:space="preserve"> 4000 (</w:t>
      </w:r>
      <w:proofErr w:type="spellStart"/>
      <w:r w:rsidRPr="00CE4076">
        <w:t>полиэтиленгликоль</w:t>
      </w:r>
      <w:proofErr w:type="spellEnd"/>
      <w:r w:rsidRPr="00CE4076">
        <w:t xml:space="preserve"> 4000) </w:t>
      </w:r>
      <w:r w:rsidRPr="007E31B1">
        <w:t>−</w:t>
      </w:r>
      <w:r w:rsidRPr="00CE4076">
        <w:t xml:space="preserve"> 0,270 мг] или [сухая смесь для пленочного покрытия, содержащая </w:t>
      </w:r>
      <w:proofErr w:type="spellStart"/>
      <w:r w:rsidRPr="00CE4076">
        <w:t>гипромеллозу</w:t>
      </w:r>
      <w:proofErr w:type="spellEnd"/>
      <w:r w:rsidRPr="00CE4076">
        <w:t xml:space="preserve"> (60</w:t>
      </w:r>
      <w:r w:rsidRPr="009C0B25">
        <w:t xml:space="preserve"> %), тальк (20 </w:t>
      </w:r>
      <w:r w:rsidRPr="007E31B1">
        <w:t xml:space="preserve">%), титана диоксид </w:t>
      </w:r>
      <w:r w:rsidRPr="007E31B1">
        <w:br/>
        <w:t xml:space="preserve">(11 %), </w:t>
      </w:r>
      <w:proofErr w:type="spellStart"/>
      <w:r w:rsidRPr="007E31B1">
        <w:t>макрогол</w:t>
      </w:r>
      <w:proofErr w:type="spellEnd"/>
      <w:r w:rsidRPr="007E31B1">
        <w:t xml:space="preserve"> 4000 (</w:t>
      </w:r>
      <w:proofErr w:type="spellStart"/>
      <w:r w:rsidRPr="007E31B1">
        <w:t>полиэтиленгликоль</w:t>
      </w:r>
      <w:proofErr w:type="spellEnd"/>
      <w:r w:rsidRPr="007E31B1">
        <w:t xml:space="preserve"> 4000) (9 %)] −</w:t>
      </w:r>
      <w:r w:rsidRPr="00CE4076">
        <w:t xml:space="preserve"> 3,000 мг.</w:t>
      </w:r>
    </w:p>
    <w:p w:rsidR="009A1065" w:rsidRPr="009C0B25" w:rsidRDefault="009A1065" w:rsidP="009A1065">
      <w:pPr>
        <w:pStyle w:val="a5"/>
        <w:suppressAutoHyphens/>
        <w:spacing w:before="0" w:beforeAutospacing="0" w:after="0" w:afterAutospacing="0"/>
        <w:jc w:val="both"/>
      </w:pPr>
    </w:p>
    <w:p w:rsidR="009A1065" w:rsidRPr="007E31B1" w:rsidRDefault="009A1065" w:rsidP="009A1065">
      <w:pPr>
        <w:pStyle w:val="a6"/>
        <w:suppressAutoHyphens/>
        <w:jc w:val="both"/>
        <w:rPr>
          <w:sz w:val="24"/>
          <w:szCs w:val="24"/>
          <w:u w:val="single"/>
        </w:rPr>
      </w:pPr>
      <w:r w:rsidRPr="007E31B1">
        <w:rPr>
          <w:sz w:val="24"/>
          <w:szCs w:val="24"/>
          <w:u w:val="single"/>
        </w:rPr>
        <w:t>Дозировка 25 мг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E31B1">
        <w:rPr>
          <w:i/>
        </w:rPr>
        <w:t>активное вещество</w:t>
      </w:r>
      <w:r w:rsidRPr="007E31B1">
        <w:t>:</w:t>
      </w:r>
      <w:r w:rsidRPr="00CE4076">
        <w:t xml:space="preserve"> </w:t>
      </w:r>
      <w:proofErr w:type="spellStart"/>
      <w:r w:rsidRPr="00CE4076">
        <w:t>лозартан</w:t>
      </w:r>
      <w:proofErr w:type="spellEnd"/>
      <w:r w:rsidRPr="00CE4076">
        <w:t xml:space="preserve"> калия </w:t>
      </w:r>
      <w:r w:rsidRPr="007E31B1">
        <w:t>–</w:t>
      </w:r>
      <w:r w:rsidRPr="00CE4076">
        <w:t xml:space="preserve"> 25,000 мг; 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CE4076">
        <w:rPr>
          <w:i/>
        </w:rPr>
        <w:t>вспомогательные вещества</w:t>
      </w:r>
      <w:r w:rsidRPr="007E31B1">
        <w:t>:</w:t>
      </w:r>
      <w:r w:rsidRPr="00CE4076">
        <w:t xml:space="preserve"> лактозы моногидрат </w:t>
      </w:r>
      <w:r w:rsidRPr="007E31B1">
        <w:t>−</w:t>
      </w:r>
      <w:r w:rsidRPr="00CE4076">
        <w:t xml:space="preserve"> 117,200 мг, целлюлоза микрокристаллическая </w:t>
      </w:r>
      <w:r w:rsidRPr="007E31B1">
        <w:t>−</w:t>
      </w:r>
      <w:r w:rsidRPr="00CE4076">
        <w:t xml:space="preserve"> 40,000 мг, </w:t>
      </w:r>
      <w:proofErr w:type="spellStart"/>
      <w:r w:rsidRPr="00CE4076">
        <w:t>кроскармеллоза</w:t>
      </w:r>
      <w:proofErr w:type="spellEnd"/>
      <w:r w:rsidRPr="00CE4076">
        <w:t xml:space="preserve"> натрия </w:t>
      </w:r>
      <w:r w:rsidRPr="007E31B1">
        <w:t>−</w:t>
      </w:r>
      <w:r w:rsidRPr="00CE4076">
        <w:t xml:space="preserve"> 8,000 мг, </w:t>
      </w:r>
      <w:proofErr w:type="spellStart"/>
      <w:r w:rsidRPr="00CE4076">
        <w:t>повидон</w:t>
      </w:r>
      <w:proofErr w:type="spellEnd"/>
      <w:r w:rsidRPr="00CE4076">
        <w:t xml:space="preserve"> (</w:t>
      </w:r>
      <w:proofErr w:type="spellStart"/>
      <w:r w:rsidRPr="00CE4076">
        <w:t>поливинилпирролидон</w:t>
      </w:r>
      <w:proofErr w:type="spellEnd"/>
      <w:r w:rsidRPr="00CE4076">
        <w:t xml:space="preserve"> низкомолекулярный) </w:t>
      </w:r>
      <w:r w:rsidRPr="007E31B1">
        <w:t>−</w:t>
      </w:r>
      <w:r w:rsidRPr="00CE4076">
        <w:t xml:space="preserve"> 6,400 мг, кремния диоксид коллоидный </w:t>
      </w:r>
      <w:r w:rsidRPr="007E31B1">
        <w:t>−</w:t>
      </w:r>
      <w:r w:rsidRPr="00CE4076">
        <w:t xml:space="preserve"> </w:t>
      </w:r>
      <w:r w:rsidRPr="00CE4076">
        <w:br/>
        <w:t xml:space="preserve">1,400 мг, магния </w:t>
      </w:r>
      <w:proofErr w:type="spellStart"/>
      <w:r w:rsidRPr="00CE4076">
        <w:t>стеарат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2,000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gramStart"/>
      <w:r w:rsidRPr="00CE4076">
        <w:rPr>
          <w:i/>
        </w:rPr>
        <w:t>пленочная оболочка</w:t>
      </w:r>
      <w:r w:rsidRPr="007E31B1">
        <w:t>:</w:t>
      </w:r>
      <w:r w:rsidRPr="00CE4076">
        <w:t xml:space="preserve"> [</w:t>
      </w:r>
      <w:proofErr w:type="spellStart"/>
      <w:r w:rsidRPr="00CE4076">
        <w:t>гипромеллоза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3,600 мг, тальк </w:t>
      </w:r>
      <w:r w:rsidRPr="007E31B1">
        <w:t>−</w:t>
      </w:r>
      <w:r w:rsidRPr="00CE4076">
        <w:t xml:space="preserve"> 1,200 мг, титана диоксид </w:t>
      </w:r>
      <w:r w:rsidRPr="007E31B1">
        <w:t>−</w:t>
      </w:r>
      <w:r w:rsidRPr="00CE4076">
        <w:t xml:space="preserve"> </w:t>
      </w:r>
      <w:r w:rsidRPr="00CE4076">
        <w:br/>
        <w:t xml:space="preserve">0,620 мг, </w:t>
      </w:r>
      <w:proofErr w:type="spellStart"/>
      <w:r w:rsidRPr="00CE4076">
        <w:t>макрогол</w:t>
      </w:r>
      <w:proofErr w:type="spellEnd"/>
      <w:r w:rsidRPr="00CE4076">
        <w:t xml:space="preserve"> 4000 (</w:t>
      </w:r>
      <w:proofErr w:type="spellStart"/>
      <w:r w:rsidRPr="00CE4076">
        <w:t>полиэтиленгликоль</w:t>
      </w:r>
      <w:proofErr w:type="spellEnd"/>
      <w:r w:rsidRPr="00CE4076">
        <w:t xml:space="preserve"> 4000) </w:t>
      </w:r>
      <w:r w:rsidRPr="007E31B1">
        <w:t>−</w:t>
      </w:r>
      <w:r w:rsidRPr="00CE4076">
        <w:t xml:space="preserve"> 0,540 мг, железа оксид желтый (железа оксид) – 0,040 мг] или [сух</w:t>
      </w:r>
      <w:r w:rsidRPr="009C0B25">
        <w:t xml:space="preserve">ая смесь для пленочного покрытия, содержащая </w:t>
      </w:r>
      <w:proofErr w:type="spellStart"/>
      <w:r w:rsidRPr="009C0B25">
        <w:t>гипромеллозу</w:t>
      </w:r>
      <w:proofErr w:type="spellEnd"/>
      <w:r w:rsidRPr="009C0B25">
        <w:t xml:space="preserve"> (60</w:t>
      </w:r>
      <w:r w:rsidRPr="007E31B1">
        <w:t xml:space="preserve"> %), тальк (20 %), титана диоксид (10,33 %), </w:t>
      </w:r>
      <w:proofErr w:type="spellStart"/>
      <w:r w:rsidRPr="007E31B1">
        <w:t>макрогол</w:t>
      </w:r>
      <w:proofErr w:type="spellEnd"/>
      <w:r w:rsidRPr="007E31B1">
        <w:t xml:space="preserve"> 4000 (</w:t>
      </w:r>
      <w:proofErr w:type="spellStart"/>
      <w:r w:rsidRPr="007E31B1">
        <w:t>полиэтиленгликоль</w:t>
      </w:r>
      <w:proofErr w:type="spellEnd"/>
      <w:r w:rsidRPr="007E31B1">
        <w:t xml:space="preserve"> 4000) (9 %), железа оксид желтый (железа оксид) (0,67 %)] −</w:t>
      </w:r>
      <w:r w:rsidRPr="00CE4076">
        <w:t xml:space="preserve"> 6,000 мг.</w:t>
      </w:r>
      <w:proofErr w:type="gramEnd"/>
    </w:p>
    <w:p w:rsidR="009A1065" w:rsidRPr="009C0B25" w:rsidRDefault="009A1065" w:rsidP="009A1065">
      <w:pPr>
        <w:pStyle w:val="a5"/>
        <w:suppressAutoHyphens/>
        <w:spacing w:before="0" w:beforeAutospacing="0" w:after="0" w:afterAutospacing="0"/>
        <w:jc w:val="both"/>
      </w:pPr>
    </w:p>
    <w:p w:rsidR="009A1065" w:rsidRPr="007E31B1" w:rsidRDefault="009A1065" w:rsidP="009A1065">
      <w:pPr>
        <w:pStyle w:val="a6"/>
        <w:suppressAutoHyphens/>
        <w:jc w:val="both"/>
        <w:rPr>
          <w:sz w:val="24"/>
          <w:szCs w:val="24"/>
          <w:u w:val="single"/>
        </w:rPr>
      </w:pPr>
      <w:r w:rsidRPr="007E31B1">
        <w:rPr>
          <w:sz w:val="24"/>
          <w:szCs w:val="24"/>
          <w:u w:val="single"/>
        </w:rPr>
        <w:t>Дозировка 50 мг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E31B1">
        <w:rPr>
          <w:i/>
        </w:rPr>
        <w:t>активное вещество</w:t>
      </w:r>
      <w:r w:rsidRPr="007E31B1">
        <w:t>:</w:t>
      </w:r>
      <w:r w:rsidRPr="00CE4076">
        <w:t xml:space="preserve"> </w:t>
      </w:r>
      <w:proofErr w:type="spellStart"/>
      <w:r w:rsidRPr="00CE4076">
        <w:t>лозартан</w:t>
      </w:r>
      <w:proofErr w:type="spellEnd"/>
      <w:r w:rsidRPr="00CE4076">
        <w:t xml:space="preserve"> калия </w:t>
      </w:r>
      <w:r w:rsidRPr="007E31B1">
        <w:t>–</w:t>
      </w:r>
      <w:r w:rsidRPr="00CE4076">
        <w:t xml:space="preserve"> 50,000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CE4076">
        <w:rPr>
          <w:i/>
        </w:rPr>
        <w:t>вспомогательные вещества</w:t>
      </w:r>
      <w:r w:rsidRPr="007E31B1">
        <w:t>:</w:t>
      </w:r>
      <w:r w:rsidRPr="00CE4076">
        <w:t xml:space="preserve"> лактозы моногидрат </w:t>
      </w:r>
      <w:r w:rsidRPr="007E31B1">
        <w:t>−</w:t>
      </w:r>
      <w:r w:rsidRPr="00CE4076">
        <w:t xml:space="preserve"> 57,500 мг, целлюлоза микрокристаллическая </w:t>
      </w:r>
      <w:r w:rsidRPr="007E31B1">
        <w:t>−</w:t>
      </w:r>
      <w:r w:rsidRPr="00CE4076">
        <w:t xml:space="preserve"> 20,000 мг, </w:t>
      </w:r>
      <w:proofErr w:type="spellStart"/>
      <w:r w:rsidRPr="00CE4076">
        <w:t>кроскармеллоза</w:t>
      </w:r>
      <w:proofErr w:type="spellEnd"/>
      <w:r w:rsidRPr="00CE4076">
        <w:t xml:space="preserve"> натрия </w:t>
      </w:r>
      <w:r w:rsidRPr="007E31B1">
        <w:t>−</w:t>
      </w:r>
      <w:r w:rsidRPr="00CE4076">
        <w:t xml:space="preserve"> 5,600 мг, </w:t>
      </w:r>
      <w:proofErr w:type="spellStart"/>
      <w:r w:rsidRPr="00CE4076">
        <w:t>повидон</w:t>
      </w:r>
      <w:proofErr w:type="spellEnd"/>
      <w:r w:rsidRPr="00CE4076">
        <w:t xml:space="preserve"> (</w:t>
      </w:r>
      <w:proofErr w:type="spellStart"/>
      <w:r w:rsidRPr="00CE4076">
        <w:t>поливинилпирролидон</w:t>
      </w:r>
      <w:proofErr w:type="spellEnd"/>
      <w:r w:rsidRPr="00CE4076">
        <w:t xml:space="preserve"> низкомолекулярный) </w:t>
      </w:r>
      <w:r w:rsidRPr="007E31B1">
        <w:t>−</w:t>
      </w:r>
      <w:r w:rsidRPr="00CE4076">
        <w:t xml:space="preserve"> 4,500 мг, кремния диоксид коллоидный </w:t>
      </w:r>
      <w:r w:rsidRPr="007E31B1">
        <w:t>−</w:t>
      </w:r>
      <w:r w:rsidRPr="00CE4076">
        <w:t xml:space="preserve"> </w:t>
      </w:r>
      <w:r w:rsidRPr="00CE4076">
        <w:br/>
        <w:t xml:space="preserve">1,000 мг, магния </w:t>
      </w:r>
      <w:proofErr w:type="spellStart"/>
      <w:r w:rsidRPr="00CE4076">
        <w:t>стеарат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1,400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CE4076">
        <w:rPr>
          <w:i/>
        </w:rPr>
        <w:t>пленочная оболочка</w:t>
      </w:r>
      <w:r w:rsidRPr="007E31B1">
        <w:t>:</w:t>
      </w:r>
      <w:r w:rsidRPr="00CE4076">
        <w:t xml:space="preserve"> [</w:t>
      </w:r>
      <w:proofErr w:type="spellStart"/>
      <w:r w:rsidRPr="00CE4076">
        <w:t>гипромеллоза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2,400 мг, тальк </w:t>
      </w:r>
      <w:r w:rsidRPr="007E31B1">
        <w:t>−</w:t>
      </w:r>
      <w:r w:rsidRPr="00CE4076">
        <w:t xml:space="preserve"> 0,800 мг, титана диоксид </w:t>
      </w:r>
      <w:r w:rsidRPr="007E31B1">
        <w:t>−</w:t>
      </w:r>
      <w:r w:rsidRPr="00CE4076">
        <w:t xml:space="preserve"> </w:t>
      </w:r>
      <w:r w:rsidRPr="00CE4076">
        <w:br/>
        <w:t xml:space="preserve">0,440 мг, </w:t>
      </w:r>
      <w:proofErr w:type="spellStart"/>
      <w:r w:rsidRPr="00CE4076">
        <w:t>макрогол</w:t>
      </w:r>
      <w:proofErr w:type="spellEnd"/>
      <w:r w:rsidRPr="00CE4076">
        <w:t xml:space="preserve"> 4000 (</w:t>
      </w:r>
      <w:proofErr w:type="spellStart"/>
      <w:r w:rsidRPr="00CE4076">
        <w:t>полиэтиленгликоль</w:t>
      </w:r>
      <w:proofErr w:type="spellEnd"/>
      <w:r w:rsidRPr="00CE4076">
        <w:t xml:space="preserve"> 4000) </w:t>
      </w:r>
      <w:r w:rsidRPr="007E31B1">
        <w:t>−</w:t>
      </w:r>
      <w:r w:rsidRPr="00CE4076">
        <w:t xml:space="preserve"> 0,360 мг] или [сухая смесь для пленочного покрытия, содержащая </w:t>
      </w:r>
      <w:proofErr w:type="spellStart"/>
      <w:r w:rsidRPr="00CE4076">
        <w:t>гипромеллозу</w:t>
      </w:r>
      <w:proofErr w:type="spellEnd"/>
      <w:r w:rsidRPr="00CE4076">
        <w:t xml:space="preserve"> (60</w:t>
      </w:r>
      <w:r w:rsidRPr="009C0B25">
        <w:t xml:space="preserve"> %), тальк (20 </w:t>
      </w:r>
      <w:r w:rsidRPr="007E31B1">
        <w:t xml:space="preserve">%), титана диоксид </w:t>
      </w:r>
      <w:r w:rsidRPr="007E31B1">
        <w:br/>
        <w:t xml:space="preserve">(11 %), </w:t>
      </w:r>
      <w:proofErr w:type="spellStart"/>
      <w:r w:rsidRPr="007E31B1">
        <w:t>макрогол</w:t>
      </w:r>
      <w:proofErr w:type="spellEnd"/>
      <w:r w:rsidRPr="007E31B1">
        <w:t xml:space="preserve"> 4000 (</w:t>
      </w:r>
      <w:proofErr w:type="spellStart"/>
      <w:r w:rsidRPr="007E31B1">
        <w:t>полиэтиленгликоль</w:t>
      </w:r>
      <w:proofErr w:type="spellEnd"/>
      <w:r w:rsidRPr="007E31B1">
        <w:t xml:space="preserve"> 4000) (9 %)] −</w:t>
      </w:r>
      <w:r w:rsidRPr="00CE4076">
        <w:t xml:space="preserve"> 4,000 мг.</w:t>
      </w:r>
    </w:p>
    <w:p w:rsidR="009A1065" w:rsidRPr="009C0B25" w:rsidRDefault="009A1065" w:rsidP="009A1065">
      <w:pPr>
        <w:pStyle w:val="a5"/>
        <w:suppressAutoHyphens/>
        <w:spacing w:before="0" w:beforeAutospacing="0" w:after="0" w:afterAutospacing="0"/>
        <w:jc w:val="both"/>
      </w:pPr>
    </w:p>
    <w:p w:rsidR="009A1065" w:rsidRPr="007E31B1" w:rsidRDefault="009A1065" w:rsidP="009A1065">
      <w:pPr>
        <w:pStyle w:val="a5"/>
        <w:suppressAutoHyphens/>
        <w:spacing w:before="0" w:beforeAutospacing="0" w:after="0" w:afterAutospacing="0"/>
        <w:jc w:val="both"/>
      </w:pPr>
    </w:p>
    <w:p w:rsidR="009A1065" w:rsidRPr="007E31B1" w:rsidRDefault="009A1065" w:rsidP="009A1065">
      <w:pPr>
        <w:pStyle w:val="a6"/>
        <w:suppressAutoHyphens/>
        <w:jc w:val="both"/>
        <w:rPr>
          <w:sz w:val="24"/>
          <w:szCs w:val="24"/>
          <w:u w:val="single"/>
        </w:rPr>
      </w:pPr>
      <w:r w:rsidRPr="007E31B1">
        <w:rPr>
          <w:sz w:val="24"/>
          <w:szCs w:val="24"/>
          <w:u w:val="single"/>
        </w:rPr>
        <w:lastRenderedPageBreak/>
        <w:t>Дозировка 100 мг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E31B1">
        <w:rPr>
          <w:i/>
        </w:rPr>
        <w:t>активное вещество</w:t>
      </w:r>
      <w:r w:rsidRPr="007E31B1">
        <w:t>:</w:t>
      </w:r>
      <w:r w:rsidRPr="00CE4076">
        <w:t xml:space="preserve"> </w:t>
      </w:r>
      <w:proofErr w:type="spellStart"/>
      <w:r w:rsidRPr="00CE4076">
        <w:t>лозартан</w:t>
      </w:r>
      <w:proofErr w:type="spellEnd"/>
      <w:r w:rsidRPr="00CE4076">
        <w:t xml:space="preserve"> калия </w:t>
      </w:r>
      <w:r w:rsidRPr="007E31B1">
        <w:t>–</w:t>
      </w:r>
      <w:r w:rsidRPr="00CE4076">
        <w:t xml:space="preserve"> 100,000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CE4076">
        <w:rPr>
          <w:i/>
        </w:rPr>
        <w:t>вспомогательные вещества</w:t>
      </w:r>
      <w:r w:rsidRPr="007E31B1">
        <w:t>:</w:t>
      </w:r>
      <w:r w:rsidRPr="00CE4076">
        <w:t xml:space="preserve"> лактозы моногидрат </w:t>
      </w:r>
      <w:r w:rsidRPr="007E31B1">
        <w:t>−</w:t>
      </w:r>
      <w:r w:rsidRPr="00CE4076">
        <w:t xml:space="preserve"> 115,000 мг, целлюлоза микрокристаллическая </w:t>
      </w:r>
      <w:r w:rsidRPr="007E31B1">
        <w:t>−</w:t>
      </w:r>
      <w:r w:rsidRPr="00CE4076">
        <w:t xml:space="preserve"> 40,000 мг, </w:t>
      </w:r>
      <w:proofErr w:type="spellStart"/>
      <w:r w:rsidRPr="00CE4076">
        <w:t>кроскармеллоза</w:t>
      </w:r>
      <w:proofErr w:type="spellEnd"/>
      <w:r w:rsidRPr="00CE4076">
        <w:t xml:space="preserve"> натрия </w:t>
      </w:r>
      <w:r w:rsidRPr="007E31B1">
        <w:t>−</w:t>
      </w:r>
      <w:r w:rsidRPr="00CE4076">
        <w:t xml:space="preserve"> 11,200 мг, </w:t>
      </w:r>
      <w:proofErr w:type="spellStart"/>
      <w:r w:rsidRPr="00CE4076">
        <w:t>повидон</w:t>
      </w:r>
      <w:proofErr w:type="spellEnd"/>
      <w:r w:rsidRPr="00CE4076">
        <w:t xml:space="preserve"> (</w:t>
      </w:r>
      <w:proofErr w:type="spellStart"/>
      <w:r w:rsidRPr="00CE4076">
        <w:t>поливинилпирролидон</w:t>
      </w:r>
      <w:proofErr w:type="spellEnd"/>
      <w:r w:rsidRPr="00CE4076">
        <w:t xml:space="preserve"> низкомолекулярный) </w:t>
      </w:r>
      <w:r w:rsidRPr="007E31B1">
        <w:t>−</w:t>
      </w:r>
      <w:r w:rsidRPr="00CE4076">
        <w:t xml:space="preserve"> 9,000 мг, кремния диоксид коллоидный </w:t>
      </w:r>
      <w:r w:rsidRPr="007E31B1">
        <w:t>−</w:t>
      </w:r>
      <w:r w:rsidRPr="00CE4076">
        <w:t xml:space="preserve"> </w:t>
      </w:r>
      <w:r w:rsidRPr="00CE4076">
        <w:br/>
        <w:t xml:space="preserve">2,000 мг, магния </w:t>
      </w:r>
      <w:proofErr w:type="spellStart"/>
      <w:r w:rsidRPr="00CE4076">
        <w:t>стеарат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2,800 мг;</w:t>
      </w:r>
    </w:p>
    <w:p w:rsidR="009A1065" w:rsidRPr="00CE4076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gramStart"/>
      <w:r w:rsidRPr="00CE4076">
        <w:rPr>
          <w:i/>
        </w:rPr>
        <w:t>пленочная оболочка</w:t>
      </w:r>
      <w:r w:rsidRPr="007E31B1">
        <w:t>:</w:t>
      </w:r>
      <w:r w:rsidRPr="00CE4076">
        <w:t xml:space="preserve"> [</w:t>
      </w:r>
      <w:proofErr w:type="spellStart"/>
      <w:r w:rsidRPr="00CE4076">
        <w:t>гипромеллоза</w:t>
      </w:r>
      <w:proofErr w:type="spellEnd"/>
      <w:r w:rsidRPr="00CE4076">
        <w:t xml:space="preserve"> </w:t>
      </w:r>
      <w:r w:rsidRPr="007E31B1">
        <w:t>−</w:t>
      </w:r>
      <w:r w:rsidRPr="00CE4076">
        <w:t xml:space="preserve"> 4,800 мг, тальк </w:t>
      </w:r>
      <w:r w:rsidRPr="007E31B1">
        <w:t>−</w:t>
      </w:r>
      <w:r w:rsidRPr="00CE4076">
        <w:t xml:space="preserve"> 1,600 мг, титана диоксид </w:t>
      </w:r>
      <w:r w:rsidRPr="007E31B1">
        <w:t>−</w:t>
      </w:r>
      <w:r w:rsidRPr="00CE4076">
        <w:t xml:space="preserve"> </w:t>
      </w:r>
      <w:r w:rsidRPr="00CE4076">
        <w:br/>
        <w:t xml:space="preserve">0,826 мг, </w:t>
      </w:r>
      <w:proofErr w:type="spellStart"/>
      <w:r w:rsidRPr="00CE4076">
        <w:t>макрогол</w:t>
      </w:r>
      <w:proofErr w:type="spellEnd"/>
      <w:r w:rsidRPr="00CE4076">
        <w:t xml:space="preserve"> 4000 (</w:t>
      </w:r>
      <w:proofErr w:type="spellStart"/>
      <w:r w:rsidRPr="00CE4076">
        <w:t>полиэтиленгликоль</w:t>
      </w:r>
      <w:proofErr w:type="spellEnd"/>
      <w:r w:rsidRPr="00CE4076">
        <w:t xml:space="preserve"> 4000) </w:t>
      </w:r>
      <w:r w:rsidRPr="007E31B1">
        <w:t>−</w:t>
      </w:r>
      <w:r w:rsidRPr="00CE4076">
        <w:t xml:space="preserve"> 0,720 мг, железа оксид желтый (железа оксид) – 0,054 мг] или [сухая смесь для пленочного покрытия, содержащая </w:t>
      </w:r>
      <w:proofErr w:type="spellStart"/>
      <w:r w:rsidRPr="00CE4076">
        <w:t>гипромеллозу</w:t>
      </w:r>
      <w:proofErr w:type="spellEnd"/>
      <w:r w:rsidRPr="00CE4076">
        <w:t xml:space="preserve"> (60</w:t>
      </w:r>
      <w:r w:rsidRPr="009C0B25">
        <w:t xml:space="preserve"> %), тальк (20 </w:t>
      </w:r>
      <w:r w:rsidRPr="007E31B1">
        <w:t xml:space="preserve">%), титана диоксид (10,33 %), </w:t>
      </w:r>
      <w:proofErr w:type="spellStart"/>
      <w:r w:rsidRPr="007E31B1">
        <w:t>макрогол</w:t>
      </w:r>
      <w:proofErr w:type="spellEnd"/>
      <w:r w:rsidRPr="007E31B1">
        <w:t xml:space="preserve"> 4000 (</w:t>
      </w:r>
      <w:proofErr w:type="spellStart"/>
      <w:r w:rsidRPr="007E31B1">
        <w:t>полиэтиленгликоль</w:t>
      </w:r>
      <w:proofErr w:type="spellEnd"/>
      <w:r w:rsidRPr="007E31B1">
        <w:t xml:space="preserve"> 4000) (9 %), железа оксид желтый (железа оксид) (0,67 %)] −</w:t>
      </w:r>
      <w:r w:rsidRPr="00CE4076">
        <w:t xml:space="preserve"> 8,000 мг.</w:t>
      </w:r>
      <w:proofErr w:type="gramEnd"/>
    </w:p>
    <w:p w:rsidR="009A1065" w:rsidRPr="009C0B25" w:rsidRDefault="009A1065" w:rsidP="009A1065">
      <w:pPr>
        <w:pStyle w:val="a6"/>
        <w:suppressAutoHyphens/>
        <w:jc w:val="both"/>
        <w:rPr>
          <w:sz w:val="24"/>
          <w:szCs w:val="24"/>
        </w:rPr>
      </w:pPr>
    </w:p>
    <w:p w:rsidR="009A1065" w:rsidRPr="008452C1" w:rsidRDefault="009A1065" w:rsidP="009A1065">
      <w:pPr>
        <w:pStyle w:val="11"/>
        <w:suppressAutoHyphens/>
        <w:rPr>
          <w:b/>
          <w:color w:val="auto"/>
        </w:rPr>
      </w:pPr>
      <w:r w:rsidRPr="008452C1">
        <w:rPr>
          <w:b/>
          <w:color w:val="auto"/>
        </w:rPr>
        <w:t xml:space="preserve">Описание 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8452C1">
        <w:t xml:space="preserve">Круглые двояковыпуклые таблетки, покрытые пленочной оболочкой белого или почти белого цвета (дозировки 12,5 мг и 50 мг) или желтого цвета (дозировки 25 мг и 100 мг). </w:t>
      </w:r>
      <w:r w:rsidRPr="008452C1">
        <w:br/>
        <w:t>На поперечном разрезе ядро белого или почти белого цвета.</w:t>
      </w:r>
    </w:p>
    <w:p w:rsidR="009A1065" w:rsidRPr="007517FE" w:rsidRDefault="009A1065" w:rsidP="009A1065">
      <w:pPr>
        <w:pStyle w:val="a6"/>
        <w:suppressAutoHyphens/>
        <w:ind w:right="-261"/>
        <w:jc w:val="both"/>
        <w:rPr>
          <w:sz w:val="24"/>
          <w:szCs w:val="24"/>
        </w:rPr>
      </w:pPr>
    </w:p>
    <w:p w:rsidR="009A1065" w:rsidRDefault="009A1065" w:rsidP="009A1065">
      <w:pPr>
        <w:pStyle w:val="11"/>
        <w:suppressAutoHyphens/>
        <w:rPr>
          <w:b/>
          <w:color w:val="auto"/>
        </w:rPr>
      </w:pPr>
      <w:r w:rsidRPr="007517FE">
        <w:rPr>
          <w:b/>
          <w:bCs/>
          <w:color w:val="auto"/>
        </w:rPr>
        <w:t>Фармакотерапевтическая группа</w:t>
      </w:r>
    </w:p>
    <w:p w:rsidR="009A1065" w:rsidRPr="007517FE" w:rsidRDefault="009A1065" w:rsidP="009A1065">
      <w:pPr>
        <w:pStyle w:val="11"/>
        <w:suppressAutoHyphens/>
        <w:rPr>
          <w:color w:val="auto"/>
        </w:rPr>
      </w:pPr>
      <w:proofErr w:type="spellStart"/>
      <w:r w:rsidRPr="004F0204">
        <w:rPr>
          <w:color w:val="auto"/>
        </w:rPr>
        <w:t>Ангиотензина</w:t>
      </w:r>
      <w:proofErr w:type="spellEnd"/>
      <w:r w:rsidRPr="004F0204">
        <w:rPr>
          <w:color w:val="auto"/>
        </w:rPr>
        <w:t xml:space="preserve"> </w:t>
      </w:r>
      <w:r w:rsidRPr="004F0204">
        <w:rPr>
          <w:color w:val="auto"/>
          <w:lang w:val="en-US"/>
        </w:rPr>
        <w:t>II</w:t>
      </w:r>
      <w:r w:rsidRPr="004F0204">
        <w:rPr>
          <w:color w:val="auto"/>
        </w:rPr>
        <w:t xml:space="preserve"> рецепторов антагонист.</w:t>
      </w:r>
      <w:r w:rsidRPr="007517FE">
        <w:rPr>
          <w:color w:val="auto"/>
        </w:rPr>
        <w:br/>
      </w:r>
    </w:p>
    <w:p w:rsidR="009A1065" w:rsidRPr="004F0204" w:rsidRDefault="009A1065" w:rsidP="009A1065">
      <w:pPr>
        <w:pStyle w:val="11"/>
        <w:suppressAutoHyphens/>
        <w:rPr>
          <w:b/>
          <w:color w:val="auto"/>
        </w:rPr>
      </w:pPr>
      <w:r w:rsidRPr="007517FE">
        <w:rPr>
          <w:b/>
          <w:color w:val="auto"/>
        </w:rPr>
        <w:t>Код АТХ</w:t>
      </w:r>
    </w:p>
    <w:p w:rsidR="009A1065" w:rsidRPr="007517FE" w:rsidRDefault="009A1065" w:rsidP="009A1065">
      <w:pPr>
        <w:pStyle w:val="11"/>
        <w:suppressAutoHyphens/>
        <w:rPr>
          <w:color w:val="auto"/>
        </w:rPr>
      </w:pPr>
      <w:r w:rsidRPr="007517FE">
        <w:rPr>
          <w:color w:val="auto"/>
        </w:rPr>
        <w:t>C09CA01 </w:t>
      </w:r>
    </w:p>
    <w:p w:rsidR="009A1065" w:rsidRPr="007517FE" w:rsidRDefault="009A1065" w:rsidP="009A1065">
      <w:pPr>
        <w:pStyle w:val="11"/>
        <w:suppressAutoHyphens/>
        <w:rPr>
          <w:b/>
          <w:color w:val="auto"/>
        </w:rPr>
      </w:pPr>
    </w:p>
    <w:p w:rsidR="009A1065" w:rsidRPr="007517FE" w:rsidRDefault="009A1065" w:rsidP="009A1065">
      <w:pPr>
        <w:pStyle w:val="11"/>
        <w:suppressAutoHyphens/>
        <w:rPr>
          <w:b/>
          <w:color w:val="auto"/>
        </w:rPr>
      </w:pPr>
      <w:r w:rsidRPr="007517FE">
        <w:rPr>
          <w:b/>
          <w:color w:val="auto"/>
        </w:rPr>
        <w:t>Фармакологическ</w:t>
      </w:r>
      <w:r>
        <w:rPr>
          <w:b/>
          <w:color w:val="auto"/>
        </w:rPr>
        <w:t xml:space="preserve">ие </w:t>
      </w:r>
      <w:r w:rsidRPr="00E80842">
        <w:rPr>
          <w:b/>
          <w:color w:val="auto"/>
        </w:rPr>
        <w:t xml:space="preserve">свойства </w:t>
      </w:r>
    </w:p>
    <w:p w:rsidR="009A1065" w:rsidRPr="007517FE" w:rsidRDefault="009A1065" w:rsidP="009A1065">
      <w:pPr>
        <w:pStyle w:val="11"/>
        <w:suppressAutoHyphens/>
        <w:rPr>
          <w:b/>
          <w:i/>
          <w:color w:val="auto"/>
        </w:rPr>
      </w:pPr>
      <w:proofErr w:type="spellStart"/>
      <w:r w:rsidRPr="007517FE">
        <w:rPr>
          <w:b/>
          <w:i/>
          <w:color w:val="auto"/>
        </w:rPr>
        <w:t>Фармакодинамика</w:t>
      </w:r>
      <w:proofErr w:type="spellEnd"/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spellStart"/>
      <w:r>
        <w:t>Лозартан</w:t>
      </w:r>
      <w:proofErr w:type="spellEnd"/>
      <w:r>
        <w:t xml:space="preserve"> является специфическим</w:t>
      </w:r>
      <w:r w:rsidRPr="007517FE">
        <w:t xml:space="preserve"> антагонист</w:t>
      </w:r>
      <w:r>
        <w:t>ом</w:t>
      </w:r>
      <w:r w:rsidRPr="007517FE">
        <w:t xml:space="preserve"> рецепторов </w:t>
      </w:r>
      <w:proofErr w:type="spellStart"/>
      <w:r w:rsidRPr="007517FE">
        <w:t>ангиотензина</w:t>
      </w:r>
      <w:proofErr w:type="spellEnd"/>
      <w:r w:rsidRPr="007517FE">
        <w:t xml:space="preserve"> II (типа АТ</w:t>
      </w:r>
      <w:proofErr w:type="gramStart"/>
      <w:r w:rsidRPr="007517FE">
        <w:t>1</w:t>
      </w:r>
      <w:proofErr w:type="gramEnd"/>
      <w:r w:rsidRPr="007517FE">
        <w:t xml:space="preserve">) для приема внутрь. </w:t>
      </w:r>
      <w:proofErr w:type="spellStart"/>
      <w:r w:rsidRPr="007517FE">
        <w:t>Ангиотензин</w:t>
      </w:r>
      <w:proofErr w:type="spellEnd"/>
      <w:r w:rsidRPr="007517FE">
        <w:t xml:space="preserve"> II избирательно связывается с AТ1-рецепторами, </w:t>
      </w:r>
      <w:proofErr w:type="gramStart"/>
      <w:r w:rsidRPr="007517FE">
        <w:t>находящимися</w:t>
      </w:r>
      <w:proofErr w:type="gramEnd"/>
      <w:r w:rsidRPr="007517FE">
        <w:t xml:space="preserve"> во многих тканях (в гладкомышечных тканях сосудов, в надпочечниках, почках и сердце) и выполняет несколько важных биологических функций, включая </w:t>
      </w:r>
      <w:proofErr w:type="spellStart"/>
      <w:r w:rsidRPr="007517FE">
        <w:t>вазоконстрикцию</w:t>
      </w:r>
      <w:proofErr w:type="spellEnd"/>
      <w:r w:rsidRPr="007517FE">
        <w:t xml:space="preserve"> и высвобождение альдостерона. </w:t>
      </w:r>
      <w:proofErr w:type="spellStart"/>
      <w:r w:rsidRPr="007517FE">
        <w:t>Ангиотензин</w:t>
      </w:r>
      <w:proofErr w:type="spellEnd"/>
      <w:r w:rsidRPr="007517FE">
        <w:t xml:space="preserve"> II также стимулирует разрастание гладкомышечных клеток. 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spellStart"/>
      <w:r w:rsidRPr="007517FE">
        <w:t>Лозартан</w:t>
      </w:r>
      <w:proofErr w:type="spellEnd"/>
      <w:r w:rsidRPr="007517FE">
        <w:t xml:space="preserve"> и его фармакологически активный метаболит (Е 3174) как </w:t>
      </w:r>
      <w:proofErr w:type="spellStart"/>
      <w:r w:rsidRPr="00AE1B37">
        <w:rPr>
          <w:i/>
        </w:rPr>
        <w:t>in</w:t>
      </w:r>
      <w:proofErr w:type="spellEnd"/>
      <w:r w:rsidRPr="00AE1B37">
        <w:rPr>
          <w:i/>
        </w:rPr>
        <w:t xml:space="preserve"> </w:t>
      </w:r>
      <w:proofErr w:type="spellStart"/>
      <w:r w:rsidRPr="00AE1B37">
        <w:rPr>
          <w:i/>
        </w:rPr>
        <w:t>vitro</w:t>
      </w:r>
      <w:proofErr w:type="spellEnd"/>
      <w:r w:rsidRPr="007517FE">
        <w:t xml:space="preserve">, так и </w:t>
      </w:r>
      <w:proofErr w:type="spellStart"/>
      <w:r w:rsidRPr="00AE1B37">
        <w:rPr>
          <w:i/>
        </w:rPr>
        <w:t>in</w:t>
      </w:r>
      <w:proofErr w:type="spellEnd"/>
      <w:r w:rsidRPr="00AE1B37">
        <w:rPr>
          <w:i/>
        </w:rPr>
        <w:t xml:space="preserve"> </w:t>
      </w:r>
      <w:proofErr w:type="spellStart"/>
      <w:r w:rsidRPr="00AE1B37">
        <w:rPr>
          <w:i/>
        </w:rPr>
        <w:t>vivo</w:t>
      </w:r>
      <w:proofErr w:type="spellEnd"/>
      <w:r w:rsidRPr="007517FE">
        <w:t xml:space="preserve"> блокируют все физиологические эффекты </w:t>
      </w:r>
      <w:proofErr w:type="spellStart"/>
      <w:r w:rsidRPr="007517FE">
        <w:t>ангиотензина</w:t>
      </w:r>
      <w:proofErr w:type="spellEnd"/>
      <w:r w:rsidRPr="007517FE">
        <w:t xml:space="preserve"> II независимо от источника или пути синтеза. </w:t>
      </w:r>
      <w:proofErr w:type="spellStart"/>
      <w:r w:rsidRPr="007517FE">
        <w:t>Лозартан</w:t>
      </w:r>
      <w:proofErr w:type="spellEnd"/>
      <w:r w:rsidRPr="007517FE">
        <w:t xml:space="preserve"> избирательно связывается с AT1-рецепторами</w:t>
      </w:r>
      <w:r>
        <w:t>;</w:t>
      </w:r>
      <w:r w:rsidRPr="007517FE">
        <w:t xml:space="preserve"> не связывается и не блокирует рецепторы других гормонов и ионных каналов, играющих важную роль в регуляции функции </w:t>
      </w:r>
      <w:proofErr w:type="gramStart"/>
      <w:r w:rsidRPr="007517FE">
        <w:t>сердечно-сосудистой</w:t>
      </w:r>
      <w:proofErr w:type="gramEnd"/>
      <w:r w:rsidRPr="007517FE">
        <w:t xml:space="preserve"> системы. Кроме того, </w:t>
      </w:r>
      <w:proofErr w:type="spellStart"/>
      <w:r w:rsidRPr="007517FE">
        <w:t>лозартан</w:t>
      </w:r>
      <w:proofErr w:type="spellEnd"/>
      <w:r w:rsidRPr="007517FE">
        <w:t xml:space="preserve"> не ингибирует </w:t>
      </w:r>
      <w:proofErr w:type="spellStart"/>
      <w:r>
        <w:t>ангиотензинпревращающий</w:t>
      </w:r>
      <w:proofErr w:type="spellEnd"/>
      <w:r>
        <w:t xml:space="preserve"> фермент (</w:t>
      </w:r>
      <w:r w:rsidRPr="007517FE">
        <w:t>АПФ</w:t>
      </w:r>
      <w:r>
        <w:t>)</w:t>
      </w:r>
      <w:r w:rsidRPr="007517FE">
        <w:t xml:space="preserve">, который способствует деградации </w:t>
      </w:r>
      <w:proofErr w:type="spellStart"/>
      <w:r w:rsidRPr="007517FE">
        <w:t>брадик</w:t>
      </w:r>
      <w:r>
        <w:t>инина</w:t>
      </w:r>
      <w:proofErr w:type="spellEnd"/>
      <w:r>
        <w:t xml:space="preserve">, поэтому побочные эффекты, </w:t>
      </w:r>
      <w:r w:rsidRPr="007517FE">
        <w:t xml:space="preserve">опосредованно связанные с </w:t>
      </w:r>
      <w:proofErr w:type="spellStart"/>
      <w:r w:rsidRPr="007517FE">
        <w:t>брадикинином</w:t>
      </w:r>
      <w:proofErr w:type="spellEnd"/>
      <w:r w:rsidRPr="007517FE">
        <w:t xml:space="preserve"> (например, ангионевротический отек) возникают достаточно редко.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>
        <w:t xml:space="preserve">При применении </w:t>
      </w:r>
      <w:proofErr w:type="spellStart"/>
      <w:r>
        <w:t>лозартана</w:t>
      </w:r>
      <w:proofErr w:type="spellEnd"/>
      <w:r w:rsidRPr="007517FE">
        <w:t xml:space="preserve"> отсутствие влияния отрицательной обратной связи на секрецию ренина приводит к повышению активности ренина плазмы крови. Повышение активности ренина приводит к повышению концентрации </w:t>
      </w:r>
      <w:proofErr w:type="spellStart"/>
      <w:r w:rsidRPr="007517FE">
        <w:t>ангиотензина</w:t>
      </w:r>
      <w:proofErr w:type="spellEnd"/>
      <w:r w:rsidRPr="007517FE">
        <w:t xml:space="preserve"> </w:t>
      </w:r>
      <w:r w:rsidRPr="007517FE">
        <w:rPr>
          <w:lang w:val="en-US"/>
        </w:rPr>
        <w:t>II</w:t>
      </w:r>
      <w:r w:rsidRPr="007517FE">
        <w:t xml:space="preserve"> в плазме крови. </w:t>
      </w:r>
      <w:r>
        <w:br/>
      </w:r>
      <w:r w:rsidRPr="007517FE">
        <w:t xml:space="preserve">Однако </w:t>
      </w:r>
      <w:proofErr w:type="spellStart"/>
      <w:r w:rsidRPr="007517FE">
        <w:t>антигипертензивная</w:t>
      </w:r>
      <w:proofErr w:type="spellEnd"/>
      <w:r w:rsidRPr="007517FE">
        <w:t xml:space="preserve"> активность и снижение концентрации альдостерона плазмы крови сохраняются, что указывает на эффективную блокаду рецепторов </w:t>
      </w:r>
      <w:proofErr w:type="spellStart"/>
      <w:r w:rsidRPr="007517FE">
        <w:t>ангиотензина</w:t>
      </w:r>
      <w:proofErr w:type="spellEnd"/>
      <w:r w:rsidRPr="007517FE">
        <w:t xml:space="preserve"> II. После отмены </w:t>
      </w:r>
      <w:proofErr w:type="spellStart"/>
      <w:r w:rsidRPr="007517FE">
        <w:t>лозартана</w:t>
      </w:r>
      <w:proofErr w:type="spellEnd"/>
      <w:r w:rsidRPr="007517FE">
        <w:t xml:space="preserve"> активность ренина плазмы </w:t>
      </w:r>
      <w:r w:rsidRPr="004F0204">
        <w:t xml:space="preserve">крови </w:t>
      </w:r>
      <w:r w:rsidRPr="0000619A">
        <w:t xml:space="preserve">и концентрация </w:t>
      </w:r>
      <w:proofErr w:type="spellStart"/>
      <w:r w:rsidRPr="0000619A">
        <w:t>ангиотензина</w:t>
      </w:r>
      <w:proofErr w:type="spellEnd"/>
      <w:r w:rsidRPr="007517FE">
        <w:t xml:space="preserve"> II в течение 3 суток снижались до исходных значений, наблюдавшихся до начала приема препарата. </w:t>
      </w:r>
      <w:r w:rsidRPr="00DA52B0">
        <w:br/>
      </w:r>
      <w:proofErr w:type="spellStart"/>
      <w:r w:rsidRPr="007517FE">
        <w:t>Лозартан</w:t>
      </w:r>
      <w:proofErr w:type="spellEnd"/>
      <w:r w:rsidRPr="007517FE">
        <w:t xml:space="preserve"> и его активный метаболит обладают большим сродством к рецепторам</w:t>
      </w:r>
      <w:r w:rsidRPr="00FD0E0B">
        <w:t xml:space="preserve"> </w:t>
      </w:r>
      <w:proofErr w:type="spellStart"/>
      <w:r w:rsidRPr="007517FE">
        <w:t>ангиотензина</w:t>
      </w:r>
      <w:proofErr w:type="spellEnd"/>
      <w:r w:rsidRPr="007517FE">
        <w:t xml:space="preserve"> II (типа АТ</w:t>
      </w:r>
      <w:proofErr w:type="gramStart"/>
      <w:r w:rsidRPr="007517FE">
        <w:t>1</w:t>
      </w:r>
      <w:proofErr w:type="gramEnd"/>
      <w:r w:rsidRPr="007517FE">
        <w:t>)</w:t>
      </w:r>
      <w:r>
        <w:t>.</w:t>
      </w:r>
      <w:r w:rsidRPr="007517FE">
        <w:t xml:space="preserve"> </w:t>
      </w:r>
    </w:p>
    <w:p w:rsidR="009A1065" w:rsidRPr="008B1CBF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Концентрации </w:t>
      </w:r>
      <w:proofErr w:type="spellStart"/>
      <w:r w:rsidRPr="007517FE">
        <w:t>лозартана</w:t>
      </w:r>
      <w:proofErr w:type="spellEnd"/>
      <w:r w:rsidRPr="007517FE">
        <w:t xml:space="preserve"> и его активного метаболита в плазме крови, </w:t>
      </w:r>
      <w:r>
        <w:t xml:space="preserve">а </w:t>
      </w:r>
      <w:r w:rsidRPr="007517FE">
        <w:t xml:space="preserve">также </w:t>
      </w:r>
      <w:proofErr w:type="spellStart"/>
      <w:r w:rsidRPr="007517FE">
        <w:t>антигипертензивный</w:t>
      </w:r>
      <w:proofErr w:type="spellEnd"/>
      <w:r w:rsidRPr="007517FE">
        <w:t xml:space="preserve"> эффект </w:t>
      </w:r>
      <w:proofErr w:type="spellStart"/>
      <w:r w:rsidRPr="007517FE">
        <w:t>лозартана</w:t>
      </w:r>
      <w:proofErr w:type="spellEnd"/>
      <w:r w:rsidRPr="007517FE">
        <w:t xml:space="preserve"> возрастают с увеличением дозы препарата. </w:t>
      </w:r>
      <w:r w:rsidRPr="007517FE">
        <w:lastRenderedPageBreak/>
        <w:t xml:space="preserve">Максимальный </w:t>
      </w:r>
      <w:proofErr w:type="spellStart"/>
      <w:r>
        <w:t>антигипер</w:t>
      </w:r>
      <w:r w:rsidRPr="007517FE">
        <w:t>тензивный</w:t>
      </w:r>
      <w:proofErr w:type="spellEnd"/>
      <w:r w:rsidRPr="007517FE">
        <w:t xml:space="preserve"> эффект развивается через 3-6 недель после начала приема препарата.</w:t>
      </w:r>
    </w:p>
    <w:p w:rsidR="009A1065" w:rsidRPr="0000619A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У </w:t>
      </w:r>
      <w:r>
        <w:t>пациентов</w:t>
      </w:r>
      <w:r w:rsidRPr="007517FE">
        <w:t xml:space="preserve"> с артериальной гипертензией, протеинурией (более 2 г в сутки), </w:t>
      </w:r>
      <w:r w:rsidRPr="0000619A">
        <w:t xml:space="preserve">без сахарного диабета, применение препарата достоверно снижает протеинурию, экскрецию альбумина и иммуноглобулина </w:t>
      </w:r>
      <w:r w:rsidRPr="0000619A">
        <w:rPr>
          <w:lang w:val="en-US"/>
        </w:rPr>
        <w:t>G</w:t>
      </w:r>
      <w:r w:rsidRPr="0000619A">
        <w:t xml:space="preserve"> (</w:t>
      </w:r>
      <w:proofErr w:type="spellStart"/>
      <w:r w:rsidRPr="0000619A">
        <w:t>IgG</w:t>
      </w:r>
      <w:proofErr w:type="spellEnd"/>
      <w:r w:rsidRPr="0000619A">
        <w:t xml:space="preserve">). </w:t>
      </w:r>
    </w:p>
    <w:p w:rsidR="009A1065" w:rsidRPr="0000619A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00619A">
        <w:t xml:space="preserve">У женщин в постменопаузальном периоде с артериальной гипертензией, принимавших </w:t>
      </w:r>
      <w:proofErr w:type="spellStart"/>
      <w:r w:rsidRPr="0000619A">
        <w:t>лозартан</w:t>
      </w:r>
      <w:proofErr w:type="spellEnd"/>
      <w:r w:rsidRPr="0000619A">
        <w:t xml:space="preserve"> в дозе 50 мг/</w:t>
      </w:r>
      <w:proofErr w:type="spellStart"/>
      <w:r w:rsidRPr="0000619A">
        <w:t>сут</w:t>
      </w:r>
      <w:proofErr w:type="spellEnd"/>
      <w:r w:rsidRPr="0000619A">
        <w:t xml:space="preserve"> на протяжении 4 недель, не было выявлено влияния терапии на почечный и системный уровень простагландинов. </w:t>
      </w:r>
    </w:p>
    <w:p w:rsidR="009A1065" w:rsidRPr="0000619A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spellStart"/>
      <w:r w:rsidRPr="0000619A">
        <w:t>Лозартан</w:t>
      </w:r>
      <w:proofErr w:type="spellEnd"/>
      <w:r w:rsidRPr="0000619A">
        <w:t xml:space="preserve"> не оказывает влияния на вегетативные рефлексы и не обладает длительным </w:t>
      </w:r>
      <w:r w:rsidRPr="0000619A">
        <w:br/>
        <w:t>эффектом в отношении уровня норадреналина в плазме крови.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00619A">
        <w:t xml:space="preserve">У пациентов с артериальной гипертензией </w:t>
      </w:r>
      <w:proofErr w:type="spellStart"/>
      <w:r w:rsidRPr="0000619A">
        <w:t>лозартан</w:t>
      </w:r>
      <w:proofErr w:type="spellEnd"/>
      <w:r w:rsidRPr="0000619A">
        <w:t xml:space="preserve"> в дозах до 150 мг в сутки не вызывает клинически значимых изменений концентрации триглицеридов, общего холестерина и холестерина липопротеинов высокой плотности. В таких же дозах </w:t>
      </w:r>
      <w:proofErr w:type="spellStart"/>
      <w:r w:rsidRPr="0000619A">
        <w:t>лозартан</w:t>
      </w:r>
      <w:proofErr w:type="spellEnd"/>
      <w:r w:rsidRPr="0000619A">
        <w:t xml:space="preserve"> не оказывает влияния на концентрацию глюкозы в крови натощак. </w:t>
      </w:r>
      <w:proofErr w:type="spellStart"/>
      <w:r w:rsidRPr="0000619A">
        <w:t>Лозартан</w:t>
      </w:r>
      <w:proofErr w:type="spellEnd"/>
      <w:r w:rsidRPr="0000619A">
        <w:t xml:space="preserve"> вызывал уменьшение сывороточной концентрации мочевой кислоты (как правило, менее 0,4 мг/</w:t>
      </w:r>
      <w:proofErr w:type="spellStart"/>
      <w:r w:rsidRPr="0000619A">
        <w:t>дл</w:t>
      </w:r>
      <w:proofErr w:type="spellEnd"/>
      <w:r w:rsidRPr="0000619A">
        <w:t>), сохранявшееся в ходе длительной</w:t>
      </w:r>
      <w:r w:rsidRPr="007517FE">
        <w:t xml:space="preserve"> терапии. </w:t>
      </w:r>
      <w:proofErr w:type="gramStart"/>
      <w:r w:rsidRPr="007517FE">
        <w:t xml:space="preserve">В контролируемых клинических исследованиях с участием </w:t>
      </w:r>
      <w:r>
        <w:t>пациентов</w:t>
      </w:r>
      <w:r w:rsidRPr="007517FE">
        <w:t xml:space="preserve"> с артериальной гипертензией случаев отмены препарата в связи с увеличением</w:t>
      </w:r>
      <w:proofErr w:type="gramEnd"/>
      <w:r w:rsidRPr="007517FE">
        <w:t xml:space="preserve"> </w:t>
      </w:r>
      <w:r>
        <w:t>содержания</w:t>
      </w:r>
      <w:r w:rsidRPr="007517FE">
        <w:t xml:space="preserve"> </w:t>
      </w:r>
      <w:proofErr w:type="spellStart"/>
      <w:r w:rsidRPr="007517FE">
        <w:t>креатинина</w:t>
      </w:r>
      <w:proofErr w:type="spellEnd"/>
      <w:r w:rsidRPr="007517FE">
        <w:t xml:space="preserve"> или калия в сыворотке крови не отмечено.</w:t>
      </w:r>
    </w:p>
    <w:p w:rsidR="009A1065" w:rsidRPr="007517FE" w:rsidRDefault="009A1065" w:rsidP="009A1065">
      <w:pPr>
        <w:pStyle w:val="11"/>
        <w:suppressAutoHyphens/>
        <w:jc w:val="both"/>
        <w:rPr>
          <w:rStyle w:val="20"/>
          <w:i/>
          <w:color w:val="auto"/>
        </w:rPr>
      </w:pPr>
      <w:proofErr w:type="spellStart"/>
      <w:r w:rsidRPr="007517FE">
        <w:rPr>
          <w:rStyle w:val="20"/>
          <w:i/>
          <w:color w:val="auto"/>
        </w:rPr>
        <w:t>Фармакокинетика</w:t>
      </w:r>
      <w:proofErr w:type="spellEnd"/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7517FE">
        <w:rPr>
          <w:i/>
        </w:rPr>
        <w:t>Всасывание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7517FE">
        <w:rPr>
          <w:sz w:val="24"/>
          <w:szCs w:val="24"/>
        </w:rPr>
        <w:t xml:space="preserve">При приеме внутрь </w:t>
      </w:r>
      <w:proofErr w:type="spellStart"/>
      <w:r w:rsidRPr="008452C1">
        <w:rPr>
          <w:sz w:val="24"/>
          <w:szCs w:val="24"/>
        </w:rPr>
        <w:t>лозартан</w:t>
      </w:r>
      <w:proofErr w:type="spellEnd"/>
      <w:r w:rsidRPr="008452C1">
        <w:rPr>
          <w:sz w:val="24"/>
          <w:szCs w:val="24"/>
        </w:rPr>
        <w:t xml:space="preserve"> хорошо абсорбируется из желудочно-кишечного тракта. </w:t>
      </w:r>
      <w:r w:rsidRPr="008452C1">
        <w:rPr>
          <w:sz w:val="24"/>
          <w:szCs w:val="24"/>
        </w:rPr>
        <w:br/>
      </w:r>
      <w:proofErr w:type="gramStart"/>
      <w:r w:rsidRPr="008452C1">
        <w:rPr>
          <w:sz w:val="24"/>
          <w:szCs w:val="24"/>
        </w:rPr>
        <w:t>Системная</w:t>
      </w:r>
      <w:proofErr w:type="gramEnd"/>
      <w:r w:rsidRPr="008452C1">
        <w:rPr>
          <w:sz w:val="24"/>
          <w:szCs w:val="24"/>
        </w:rPr>
        <w:t xml:space="preserve"> </w:t>
      </w:r>
      <w:proofErr w:type="spellStart"/>
      <w:r w:rsidRPr="008452C1">
        <w:rPr>
          <w:sz w:val="24"/>
          <w:szCs w:val="24"/>
        </w:rPr>
        <w:t>биодоступность</w:t>
      </w:r>
      <w:proofErr w:type="spellEnd"/>
      <w:r w:rsidRPr="008452C1">
        <w:rPr>
          <w:sz w:val="24"/>
          <w:szCs w:val="24"/>
        </w:rPr>
        <w:t xml:space="preserve">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составляет примерно 33 %, прием пищи не влияет на </w:t>
      </w:r>
      <w:proofErr w:type="spellStart"/>
      <w:r w:rsidRPr="008452C1">
        <w:rPr>
          <w:sz w:val="24"/>
          <w:szCs w:val="24"/>
        </w:rPr>
        <w:t>биодоступность</w:t>
      </w:r>
      <w:proofErr w:type="spellEnd"/>
      <w:r w:rsidRPr="008452C1">
        <w:rPr>
          <w:sz w:val="24"/>
          <w:szCs w:val="24"/>
        </w:rPr>
        <w:t xml:space="preserve">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. Средние максимальные концентрации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и его активного метаболита достигаются через 1 ч и через 3-4 ч соответственно.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8452C1">
        <w:rPr>
          <w:i/>
        </w:rPr>
        <w:t>Распределение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spellStart"/>
      <w:r w:rsidRPr="008452C1">
        <w:t>Лозартан</w:t>
      </w:r>
      <w:proofErr w:type="spellEnd"/>
      <w:r w:rsidRPr="008452C1">
        <w:t xml:space="preserve"> и его активный метаболит связываются с белками плазмы крови (в основном с альбумином) более чем на 99 %. Объем распределения </w:t>
      </w:r>
      <w:proofErr w:type="spellStart"/>
      <w:r w:rsidRPr="008452C1">
        <w:t>лозартана</w:t>
      </w:r>
      <w:proofErr w:type="spellEnd"/>
      <w:r w:rsidRPr="008452C1">
        <w:t xml:space="preserve"> составляет 34 л. </w:t>
      </w:r>
      <w:proofErr w:type="spellStart"/>
      <w:r w:rsidRPr="008452C1">
        <w:t>Лозартан</w:t>
      </w:r>
      <w:proofErr w:type="spellEnd"/>
      <w:r w:rsidRPr="008452C1">
        <w:t xml:space="preserve"> практически не проникает </w:t>
      </w:r>
      <w:r w:rsidRPr="0000619A">
        <w:t>через гематоэнцефалический</w:t>
      </w:r>
      <w:r w:rsidRPr="008452C1">
        <w:t xml:space="preserve"> барьер.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8452C1">
        <w:rPr>
          <w:i/>
        </w:rPr>
        <w:t>Метаболизм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</w:pPr>
      <w:proofErr w:type="spellStart"/>
      <w:r w:rsidRPr="008452C1">
        <w:t>Лозартан</w:t>
      </w:r>
      <w:proofErr w:type="spellEnd"/>
      <w:r w:rsidRPr="008452C1">
        <w:t xml:space="preserve"> подвергается эффекту «первичного прохождения» через печень, </w:t>
      </w:r>
      <w:proofErr w:type="spellStart"/>
      <w:r w:rsidRPr="008452C1">
        <w:t>метаболизируется</w:t>
      </w:r>
      <w:proofErr w:type="spellEnd"/>
      <w:r w:rsidRPr="008452C1">
        <w:t xml:space="preserve"> при участии изофермента </w:t>
      </w:r>
      <w:r w:rsidRPr="008452C1">
        <w:rPr>
          <w:lang w:val="en-US"/>
        </w:rPr>
        <w:t>CYP</w:t>
      </w:r>
      <w:r w:rsidRPr="008452C1">
        <w:t xml:space="preserve">2С9 </w:t>
      </w:r>
      <w:proofErr w:type="spellStart"/>
      <w:r w:rsidRPr="008452C1">
        <w:t>цитохрома</w:t>
      </w:r>
      <w:proofErr w:type="spellEnd"/>
      <w:r w:rsidRPr="008452C1">
        <w:t xml:space="preserve"> </w:t>
      </w:r>
      <w:r w:rsidRPr="008452C1">
        <w:rPr>
          <w:lang w:val="en-US"/>
        </w:rPr>
        <w:t>P</w:t>
      </w:r>
      <w:r w:rsidRPr="008452C1">
        <w:t xml:space="preserve">450. Примерно 14 % дозы </w:t>
      </w:r>
      <w:proofErr w:type="spellStart"/>
      <w:r w:rsidRPr="008452C1">
        <w:t>лозартана</w:t>
      </w:r>
      <w:proofErr w:type="spellEnd"/>
      <w:r w:rsidRPr="008452C1">
        <w:t xml:space="preserve">, </w:t>
      </w:r>
      <w:proofErr w:type="gramStart"/>
      <w:r w:rsidRPr="008452C1">
        <w:t>введенного</w:t>
      </w:r>
      <w:proofErr w:type="gramEnd"/>
      <w:r w:rsidRPr="008452C1">
        <w:t xml:space="preserve"> внутривенно или внутрь, превращается в его активный метаболит (</w:t>
      </w:r>
      <w:r w:rsidRPr="008452C1">
        <w:rPr>
          <w:lang w:val="en-US"/>
        </w:rPr>
        <w:t>EXP</w:t>
      </w:r>
      <w:r w:rsidRPr="008452C1">
        <w:t xml:space="preserve">3174) с </w:t>
      </w:r>
      <w:proofErr w:type="spellStart"/>
      <w:r w:rsidRPr="008452C1">
        <w:t>карбоксиловой</w:t>
      </w:r>
      <w:proofErr w:type="spellEnd"/>
      <w:r w:rsidRPr="008452C1">
        <w:t xml:space="preserve"> группой. Образуются также биологически неактивные метаболиты: два основных (в результате </w:t>
      </w:r>
      <w:proofErr w:type="spellStart"/>
      <w:r w:rsidRPr="008452C1">
        <w:t>гидроксилирования</w:t>
      </w:r>
      <w:proofErr w:type="spellEnd"/>
      <w:r w:rsidRPr="008452C1">
        <w:t xml:space="preserve"> боковой бутиловой цепи) и менее </w:t>
      </w:r>
      <w:proofErr w:type="gramStart"/>
      <w:r w:rsidRPr="008452C1">
        <w:t>значимый</w:t>
      </w:r>
      <w:proofErr w:type="gramEnd"/>
      <w:r w:rsidRPr="008452C1">
        <w:t xml:space="preserve"> − N-2-тетразол-глюкуронид.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8452C1">
        <w:rPr>
          <w:i/>
        </w:rPr>
        <w:t>Выведение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8452C1">
        <w:t xml:space="preserve">Плазменный клиренс </w:t>
      </w:r>
      <w:proofErr w:type="spellStart"/>
      <w:r w:rsidRPr="008452C1">
        <w:t>лозартана</w:t>
      </w:r>
      <w:proofErr w:type="spellEnd"/>
      <w:r w:rsidRPr="008452C1">
        <w:t xml:space="preserve"> и его активного метаболита составляет </w:t>
      </w:r>
      <w:r w:rsidRPr="008452C1">
        <w:br/>
        <w:t xml:space="preserve">600 мл/мин и 50 мл/мин соответственно. Почечный клиренс </w:t>
      </w:r>
      <w:proofErr w:type="spellStart"/>
      <w:r w:rsidRPr="008452C1">
        <w:t>лозартана</w:t>
      </w:r>
      <w:proofErr w:type="spellEnd"/>
      <w:r w:rsidRPr="008452C1">
        <w:t xml:space="preserve"> и его активного метаболита составляет примерно 74 мл/мин и 26 мл/мин соответственно.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8452C1">
        <w:t xml:space="preserve">При приеме </w:t>
      </w:r>
      <w:proofErr w:type="spellStart"/>
      <w:r w:rsidRPr="008452C1">
        <w:t>лозартана</w:t>
      </w:r>
      <w:proofErr w:type="spellEnd"/>
      <w:r w:rsidRPr="008452C1">
        <w:t xml:space="preserve"> внутрь около 4 % дозы выводится в неизмененном виде почками и в пределах 6 % дозы выводится почками в виде активного метаболита. </w:t>
      </w:r>
      <w:proofErr w:type="spellStart"/>
      <w:r w:rsidRPr="008452C1">
        <w:t>Лозартан</w:t>
      </w:r>
      <w:proofErr w:type="spellEnd"/>
      <w:r w:rsidRPr="008452C1">
        <w:t xml:space="preserve"> и его активный метаболит имеют </w:t>
      </w:r>
      <w:proofErr w:type="gramStart"/>
      <w:r w:rsidRPr="008452C1">
        <w:t>линейную</w:t>
      </w:r>
      <w:proofErr w:type="gramEnd"/>
      <w:r w:rsidRPr="008452C1">
        <w:t xml:space="preserve"> </w:t>
      </w:r>
      <w:proofErr w:type="spellStart"/>
      <w:r w:rsidRPr="008452C1">
        <w:t>фармакокинетику</w:t>
      </w:r>
      <w:proofErr w:type="spellEnd"/>
      <w:r w:rsidRPr="008452C1">
        <w:t xml:space="preserve"> при приеме внутрь </w:t>
      </w:r>
      <w:proofErr w:type="spellStart"/>
      <w:r w:rsidRPr="008452C1">
        <w:t>лозартана</w:t>
      </w:r>
      <w:proofErr w:type="spellEnd"/>
      <w:r w:rsidRPr="008452C1">
        <w:t xml:space="preserve"> в дозах до 200 мг. После приема внутрь плазменные концентрации </w:t>
      </w:r>
      <w:proofErr w:type="spellStart"/>
      <w:r w:rsidRPr="008452C1">
        <w:t>лозартана</w:t>
      </w:r>
      <w:proofErr w:type="spellEnd"/>
      <w:r w:rsidRPr="008452C1">
        <w:t xml:space="preserve"> и его активного метаболита снижаются </w:t>
      </w:r>
      <w:proofErr w:type="spellStart"/>
      <w:r w:rsidRPr="008452C1">
        <w:t>полиэкспоненциально</w:t>
      </w:r>
      <w:proofErr w:type="spellEnd"/>
      <w:r w:rsidRPr="008452C1">
        <w:t xml:space="preserve"> с конечными периодами полувыведения T</w:t>
      </w:r>
      <w:r w:rsidRPr="008452C1">
        <w:rPr>
          <w:vertAlign w:val="subscript"/>
        </w:rPr>
        <w:t>1/2</w:t>
      </w:r>
      <w:r w:rsidRPr="008452C1">
        <w:t xml:space="preserve"> примерно 2 и 6-9 ч соответственно.</w:t>
      </w:r>
    </w:p>
    <w:p w:rsidR="009A1065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8452C1">
        <w:t xml:space="preserve">Выведение </w:t>
      </w:r>
      <w:proofErr w:type="spellStart"/>
      <w:r w:rsidRPr="008452C1">
        <w:t>лозартана</w:t>
      </w:r>
      <w:proofErr w:type="spellEnd"/>
      <w:r w:rsidRPr="008452C1">
        <w:t xml:space="preserve"> и его метаболитов происходит с желчью и почками. После приема внутрь </w:t>
      </w:r>
      <w:proofErr w:type="spellStart"/>
      <w:r w:rsidRPr="008452C1">
        <w:t>лозартана</w:t>
      </w:r>
      <w:proofErr w:type="spellEnd"/>
      <w:r w:rsidRPr="008452C1">
        <w:t xml:space="preserve">, меченного </w:t>
      </w:r>
      <w:r w:rsidRPr="008452C1">
        <w:rPr>
          <w:vertAlign w:val="superscript"/>
        </w:rPr>
        <w:t>14</w:t>
      </w:r>
      <w:r w:rsidRPr="008452C1">
        <w:t>С, около 35 % радиоактивной метки обнаруживается в моче и 58 % − в кале.</w:t>
      </w:r>
      <w:r w:rsidRPr="007517FE">
        <w:t xml:space="preserve"> 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  <w:rPr>
          <w:b/>
          <w:i/>
        </w:rPr>
      </w:pPr>
      <w:proofErr w:type="spellStart"/>
      <w:r w:rsidRPr="007517FE">
        <w:rPr>
          <w:b/>
          <w:i/>
        </w:rPr>
        <w:t>Фармакокинетика</w:t>
      </w:r>
      <w:proofErr w:type="spellEnd"/>
      <w:r w:rsidRPr="007517FE">
        <w:rPr>
          <w:b/>
          <w:i/>
        </w:rPr>
        <w:t xml:space="preserve"> у особых групп </w:t>
      </w:r>
      <w:r>
        <w:rPr>
          <w:b/>
          <w:i/>
        </w:rPr>
        <w:t>пациентов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Концентрации </w:t>
      </w:r>
      <w:proofErr w:type="spellStart"/>
      <w:r w:rsidRPr="007517FE">
        <w:t>лозартана</w:t>
      </w:r>
      <w:proofErr w:type="spellEnd"/>
      <w:r w:rsidRPr="007517FE">
        <w:t xml:space="preserve"> и его активного метаболита в плазме крови у </w:t>
      </w:r>
      <w:r>
        <w:t>пациентов</w:t>
      </w:r>
      <w:r w:rsidRPr="007517FE">
        <w:t xml:space="preserve"> </w:t>
      </w:r>
      <w:r>
        <w:t xml:space="preserve">мужского пола </w:t>
      </w:r>
      <w:r w:rsidRPr="007517FE">
        <w:t xml:space="preserve">пожилого возраста с артериальной гипертензией значимо не различаются </w:t>
      </w:r>
      <w:r w:rsidRPr="007517FE">
        <w:lastRenderedPageBreak/>
        <w:t xml:space="preserve">от данных показателей у более молодых </w:t>
      </w:r>
      <w:r>
        <w:t>пациентов</w:t>
      </w:r>
      <w:r w:rsidRPr="007517FE">
        <w:t xml:space="preserve"> </w:t>
      </w:r>
      <w:r>
        <w:t xml:space="preserve">мужского пола </w:t>
      </w:r>
      <w:r w:rsidRPr="007517FE">
        <w:t>с артериальной гипертензией.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Концентрации </w:t>
      </w:r>
      <w:proofErr w:type="spellStart"/>
      <w:r w:rsidRPr="007517FE">
        <w:t>лозартана</w:t>
      </w:r>
      <w:proofErr w:type="spellEnd"/>
      <w:r w:rsidRPr="007517FE">
        <w:t xml:space="preserve"> в плазме крови были в 2 раза выше </w:t>
      </w:r>
      <w:proofErr w:type="gramStart"/>
      <w:r w:rsidRPr="007517FE">
        <w:t xml:space="preserve">у женщин с артериальной </w:t>
      </w:r>
      <w:r>
        <w:br/>
      </w:r>
      <w:r w:rsidRPr="007517FE">
        <w:t xml:space="preserve">гипертензией по сравнению с </w:t>
      </w:r>
      <w:r w:rsidRPr="0000619A">
        <w:t>мужчинами</w:t>
      </w:r>
      <w:r w:rsidRPr="0000619A">
        <w:rPr>
          <w:color w:val="FF0000"/>
        </w:rPr>
        <w:t xml:space="preserve"> </w:t>
      </w:r>
      <w:r w:rsidRPr="0000619A">
        <w:t>с</w:t>
      </w:r>
      <w:r w:rsidRPr="00707204">
        <w:t xml:space="preserve"> артериальной</w:t>
      </w:r>
      <w:r w:rsidRPr="007517FE">
        <w:t xml:space="preserve"> гипертензией</w:t>
      </w:r>
      <w:proofErr w:type="gramEnd"/>
      <w:r w:rsidRPr="007517FE">
        <w:t xml:space="preserve">. </w:t>
      </w:r>
      <w:r>
        <w:br/>
      </w:r>
      <w:r w:rsidRPr="007517FE">
        <w:t xml:space="preserve">Концентрации активного метаболита у мужчин и женщин не различались. Это явное </w:t>
      </w:r>
      <w:r>
        <w:br/>
      </w:r>
      <w:r w:rsidRPr="007517FE">
        <w:t>фармакокинетическое различие не имеет клинического значения.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При приеме </w:t>
      </w:r>
      <w:proofErr w:type="spellStart"/>
      <w:r w:rsidRPr="007517FE">
        <w:t>лозартана</w:t>
      </w:r>
      <w:proofErr w:type="spellEnd"/>
      <w:r w:rsidRPr="007517FE">
        <w:t xml:space="preserve"> внутрь у </w:t>
      </w:r>
      <w:r>
        <w:t>пациентов</w:t>
      </w:r>
      <w:r w:rsidRPr="007517FE">
        <w:t xml:space="preserve"> с циррозом печени алкогольного генеза легкой и умеренной степен</w:t>
      </w:r>
      <w:r>
        <w:t>и</w:t>
      </w:r>
      <w:r w:rsidRPr="007517FE">
        <w:t xml:space="preserve"> тяжести концентрации </w:t>
      </w:r>
      <w:proofErr w:type="spellStart"/>
      <w:r w:rsidRPr="007517FE">
        <w:t>лозартана</w:t>
      </w:r>
      <w:proofErr w:type="spellEnd"/>
      <w:r w:rsidRPr="007517FE">
        <w:t xml:space="preserve"> и его активного метаболита в плазме крови оказались в 5 и 1,7 раза (соответственно) больше, чем у молодых здоровых добровольцев мужского пола. 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Концентрации </w:t>
      </w:r>
      <w:proofErr w:type="spellStart"/>
      <w:r w:rsidRPr="007517FE">
        <w:t>лозартана</w:t>
      </w:r>
      <w:proofErr w:type="spellEnd"/>
      <w:r w:rsidRPr="007517FE">
        <w:t xml:space="preserve"> в плазме крови у </w:t>
      </w:r>
      <w:r>
        <w:t>пациентов</w:t>
      </w:r>
      <w:r w:rsidRPr="007517FE">
        <w:t xml:space="preserve"> с клиренсом </w:t>
      </w:r>
      <w:proofErr w:type="spellStart"/>
      <w:r w:rsidRPr="007517FE">
        <w:t>креатинина</w:t>
      </w:r>
      <w:proofErr w:type="spellEnd"/>
      <w:r w:rsidRPr="007517FE">
        <w:t xml:space="preserve"> выше </w:t>
      </w:r>
      <w:r w:rsidRPr="003036CA">
        <w:br/>
      </w:r>
      <w:r w:rsidRPr="007517FE">
        <w:t xml:space="preserve">10 мл/мин не отличались от таковых у </w:t>
      </w:r>
      <w:r>
        <w:t>пациентов</w:t>
      </w:r>
      <w:r w:rsidRPr="007517FE">
        <w:t xml:space="preserve"> с нормальной функцией почек. У пациентов, нуждающихся в гемодиализе, </w:t>
      </w:r>
      <w:r>
        <w:t>величина</w:t>
      </w:r>
      <w:r w:rsidRPr="007517FE">
        <w:t xml:space="preserve"> площади под кривой «концентрация-время» (AUC) приблизительно в 2 раза </w:t>
      </w:r>
      <w:r>
        <w:t>больше</w:t>
      </w:r>
      <w:r w:rsidRPr="007517FE">
        <w:t xml:space="preserve">, чем у пациентов с нормальной функцией почек. Плазменные концентрации активного метаболита не изменяются у пациентов с нарушением функции почек или у пациентов, находящихся на гемодиализе. </w:t>
      </w:r>
      <w:proofErr w:type="spellStart"/>
      <w:r w:rsidRPr="007517FE">
        <w:t>Лозартан</w:t>
      </w:r>
      <w:proofErr w:type="spellEnd"/>
      <w:r w:rsidRPr="007517FE">
        <w:t xml:space="preserve"> и его активный метаболит не удаляются из кровотока с помощью гемодиализа.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</w:p>
    <w:p w:rsidR="009A1065" w:rsidRPr="007517FE" w:rsidRDefault="009A1065" w:rsidP="009A1065">
      <w:pPr>
        <w:suppressAutoHyphens/>
        <w:jc w:val="both"/>
        <w:rPr>
          <w:b/>
          <w:sz w:val="24"/>
          <w:szCs w:val="24"/>
        </w:rPr>
      </w:pPr>
      <w:r w:rsidRPr="007517FE">
        <w:rPr>
          <w:b/>
          <w:sz w:val="24"/>
          <w:szCs w:val="24"/>
        </w:rPr>
        <w:t>Показания к применению</w:t>
      </w:r>
    </w:p>
    <w:p w:rsidR="009A1065" w:rsidRPr="007517FE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i/>
        </w:rPr>
      </w:pPr>
      <w:r w:rsidRPr="007517FE">
        <w:t>артериальная гипертензия;</w:t>
      </w:r>
    </w:p>
    <w:p w:rsidR="009A1065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E96078">
        <w:t xml:space="preserve">снижение риска ассоциированной </w:t>
      </w:r>
      <w:proofErr w:type="gramStart"/>
      <w:r w:rsidRPr="00E96078">
        <w:t>сердечно-сосудистой</w:t>
      </w:r>
      <w:proofErr w:type="gramEnd"/>
      <w:r w:rsidRPr="00E96078">
        <w:t xml:space="preserve"> заболеваемости и смертности</w:t>
      </w:r>
      <w:r w:rsidRPr="004F0204">
        <w:t xml:space="preserve"> </w:t>
      </w:r>
      <w:r w:rsidRPr="00E96078">
        <w:t xml:space="preserve">у </w:t>
      </w:r>
      <w:r>
        <w:t>пациентов</w:t>
      </w:r>
      <w:r w:rsidRPr="00E96078">
        <w:t xml:space="preserve"> с артериальной гипертензией и гипертрофией левого желудочка, проявляющееся снижением совокупной частоты сердечно-сосудистой смертности, частоты инсульта и инфаркта миокарда;</w:t>
      </w:r>
    </w:p>
    <w:p w:rsidR="009A1065" w:rsidRPr="00E96078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7517FE">
        <w:t xml:space="preserve">защита почек у </w:t>
      </w:r>
      <w:r>
        <w:t>пациентов</w:t>
      </w:r>
      <w:r w:rsidRPr="007517FE">
        <w:t xml:space="preserve"> с сахарным диабетом </w:t>
      </w:r>
      <w:r w:rsidRPr="00156552">
        <w:t>2</w:t>
      </w:r>
      <w:r>
        <w:t xml:space="preserve"> </w:t>
      </w:r>
      <w:r w:rsidRPr="007517FE">
        <w:t>типа  с протеинурией – замедление прогрессирования почечной недостаточности, проявляющееся</w:t>
      </w:r>
      <w:r w:rsidRPr="00664DFF">
        <w:t xml:space="preserve"> </w:t>
      </w:r>
      <w:r w:rsidRPr="007517FE">
        <w:t xml:space="preserve">снижением частоты </w:t>
      </w:r>
      <w:proofErr w:type="spellStart"/>
      <w:r w:rsidRPr="007517FE">
        <w:t>гиперкреатининемии</w:t>
      </w:r>
      <w:proofErr w:type="spellEnd"/>
      <w:r w:rsidRPr="007517FE">
        <w:t>, частоты развития терминальной стадии хронической почечной недостаточности (ХПН),</w:t>
      </w:r>
      <w:r w:rsidRPr="00004C11">
        <w:t xml:space="preserve"> </w:t>
      </w:r>
      <w:r w:rsidRPr="007517FE">
        <w:t>требующей проведения гемодиализа или трансплантации почк</w:t>
      </w:r>
      <w:r>
        <w:t>и</w:t>
      </w:r>
      <w:r w:rsidRPr="007517FE">
        <w:t xml:space="preserve">, показателей смертности, а также снижение протеинурии; </w:t>
      </w:r>
    </w:p>
    <w:p w:rsidR="009A1065" w:rsidRPr="00E96078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7517FE">
        <w:t>хроническая сердечная недостаточность при неэффективности лечения ингибиторами АПФ.</w:t>
      </w:r>
    </w:p>
    <w:p w:rsidR="009A1065" w:rsidRPr="007517FE" w:rsidRDefault="009A1065" w:rsidP="009A1065">
      <w:pPr>
        <w:suppressAutoHyphens/>
        <w:jc w:val="both"/>
        <w:rPr>
          <w:b/>
          <w:sz w:val="24"/>
          <w:szCs w:val="24"/>
        </w:rPr>
      </w:pPr>
    </w:p>
    <w:p w:rsidR="009A1065" w:rsidRPr="007517FE" w:rsidRDefault="009A1065" w:rsidP="009A1065">
      <w:pPr>
        <w:suppressAutoHyphens/>
        <w:jc w:val="both"/>
        <w:rPr>
          <w:b/>
          <w:sz w:val="24"/>
          <w:szCs w:val="24"/>
        </w:rPr>
      </w:pPr>
      <w:r w:rsidRPr="007517FE">
        <w:rPr>
          <w:b/>
          <w:sz w:val="24"/>
          <w:szCs w:val="24"/>
        </w:rPr>
        <w:t xml:space="preserve">Противопоказания </w:t>
      </w:r>
    </w:p>
    <w:p w:rsidR="009A1065" w:rsidRPr="007517FE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7517FE">
        <w:t>повышенная чувствительность к любому из компонентов препарата;</w:t>
      </w:r>
    </w:p>
    <w:p w:rsidR="009A1065" w:rsidRPr="004F0204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7517FE">
        <w:t xml:space="preserve">беременность и </w:t>
      </w:r>
      <w:r w:rsidRPr="004F0204">
        <w:t xml:space="preserve">период грудного вскармливания; </w:t>
      </w:r>
    </w:p>
    <w:p w:rsidR="009A1065" w:rsidRPr="004F0204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4F0204">
        <w:t>возраст до 18 лет;</w:t>
      </w:r>
    </w:p>
    <w:p w:rsidR="009A1065" w:rsidRPr="0000619A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00619A">
        <w:t xml:space="preserve">рефрактерная </w:t>
      </w:r>
      <w:proofErr w:type="spellStart"/>
      <w:r w:rsidRPr="0000619A">
        <w:t>гиперкалиемия</w:t>
      </w:r>
      <w:proofErr w:type="spellEnd"/>
      <w:r w:rsidRPr="0000619A">
        <w:t xml:space="preserve">; </w:t>
      </w:r>
    </w:p>
    <w:p w:rsidR="009A1065" w:rsidRPr="0000619A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00619A">
        <w:t xml:space="preserve">непереносимость лактозы, дефицит </w:t>
      </w:r>
      <w:proofErr w:type="spellStart"/>
      <w:r w:rsidRPr="0000619A">
        <w:t>лактазы</w:t>
      </w:r>
      <w:proofErr w:type="spellEnd"/>
      <w:r w:rsidRPr="0000619A">
        <w:t xml:space="preserve"> и синдром </w:t>
      </w:r>
      <w:proofErr w:type="spellStart"/>
      <w:r w:rsidRPr="0000619A">
        <w:t>глюкозо-галактозной</w:t>
      </w:r>
      <w:proofErr w:type="spellEnd"/>
      <w:r w:rsidRPr="0000619A">
        <w:t xml:space="preserve"> </w:t>
      </w:r>
      <w:proofErr w:type="spellStart"/>
      <w:r w:rsidRPr="0000619A">
        <w:t>мальабсорбции</w:t>
      </w:r>
      <w:proofErr w:type="spellEnd"/>
      <w:r w:rsidRPr="0000619A">
        <w:t>;</w:t>
      </w:r>
    </w:p>
    <w:p w:rsidR="009A1065" w:rsidRPr="0000619A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00619A">
        <w:t>дегидратация;</w:t>
      </w:r>
    </w:p>
    <w:p w:rsidR="009A1065" w:rsidRPr="0000619A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00619A">
        <w:t>тяжелая печеночная недостаточность (отсутствует опыт применения);</w:t>
      </w:r>
    </w:p>
    <w:p w:rsidR="009A1065" w:rsidRPr="0000619A" w:rsidRDefault="009A1065" w:rsidP="009A1065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jc w:val="both"/>
      </w:pPr>
      <w:r w:rsidRPr="0000619A">
        <w:t xml:space="preserve">одновременное применение с </w:t>
      </w:r>
      <w:proofErr w:type="spellStart"/>
      <w:r w:rsidRPr="0000619A">
        <w:t>алискиреном</w:t>
      </w:r>
      <w:proofErr w:type="spellEnd"/>
      <w:r w:rsidRPr="0000619A">
        <w:t xml:space="preserve"> у пациентов с сахарным диабетом и/или </w:t>
      </w:r>
      <w:r w:rsidRPr="0000619A">
        <w:rPr>
          <w:color w:val="000000"/>
        </w:rPr>
        <w:t>с нарушением функции почек (скорость клубочковой фильтрации менее 60 мл/мин).</w:t>
      </w:r>
    </w:p>
    <w:p w:rsidR="009A1065" w:rsidRPr="004F0204" w:rsidRDefault="009A1065" w:rsidP="009A1065">
      <w:pPr>
        <w:shd w:val="clear" w:color="auto" w:fill="FFFFFF"/>
        <w:suppressAutoHyphens/>
        <w:rPr>
          <w:sz w:val="24"/>
          <w:szCs w:val="24"/>
        </w:rPr>
      </w:pPr>
    </w:p>
    <w:p w:rsidR="009A1065" w:rsidRPr="004F0204" w:rsidRDefault="009A1065" w:rsidP="009A1065">
      <w:pPr>
        <w:suppressAutoHyphens/>
        <w:jc w:val="both"/>
        <w:rPr>
          <w:b/>
          <w:sz w:val="24"/>
          <w:szCs w:val="24"/>
        </w:rPr>
      </w:pPr>
      <w:r w:rsidRPr="004F0204">
        <w:rPr>
          <w:b/>
          <w:sz w:val="24"/>
          <w:szCs w:val="24"/>
        </w:rPr>
        <w:t>С осторожностью</w:t>
      </w:r>
    </w:p>
    <w:p w:rsidR="009A1065" w:rsidRPr="00992432" w:rsidRDefault="009A1065" w:rsidP="009A1065">
      <w:pPr>
        <w:suppressAutoHyphens/>
        <w:jc w:val="both"/>
        <w:rPr>
          <w:sz w:val="24"/>
          <w:szCs w:val="24"/>
        </w:rPr>
      </w:pPr>
      <w:proofErr w:type="gramStart"/>
      <w:r w:rsidRPr="004F0204">
        <w:rPr>
          <w:sz w:val="24"/>
          <w:szCs w:val="24"/>
        </w:rPr>
        <w:t xml:space="preserve">Печеночная недостаточность (менее 9 баллов по </w:t>
      </w:r>
      <w:proofErr w:type="spellStart"/>
      <w:r w:rsidRPr="004F0204">
        <w:rPr>
          <w:sz w:val="24"/>
          <w:szCs w:val="24"/>
        </w:rPr>
        <w:t>Чайлд</w:t>
      </w:r>
      <w:proofErr w:type="spellEnd"/>
      <w:r w:rsidRPr="004F0204">
        <w:rPr>
          <w:sz w:val="24"/>
          <w:szCs w:val="24"/>
        </w:rPr>
        <w:t xml:space="preserve">-Пью), артериальная гипотензия, </w:t>
      </w:r>
      <w:r w:rsidRPr="004F0204">
        <w:rPr>
          <w:sz w:val="24"/>
          <w:szCs w:val="24"/>
        </w:rPr>
        <w:br/>
        <w:t xml:space="preserve">сниженный объем циркулирующей крови (ОЦК), нарушение водно-электролитного </w:t>
      </w:r>
      <w:r w:rsidRPr="004F0204">
        <w:rPr>
          <w:sz w:val="24"/>
          <w:szCs w:val="24"/>
        </w:rPr>
        <w:br/>
        <w:t>баланса,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гиперкалиемия</w:t>
      </w:r>
      <w:proofErr w:type="spellEnd"/>
      <w:r>
        <w:rPr>
          <w:sz w:val="24"/>
          <w:szCs w:val="24"/>
        </w:rPr>
        <w:t>,</w:t>
      </w:r>
      <w:r w:rsidRPr="004F0204">
        <w:rPr>
          <w:sz w:val="24"/>
          <w:szCs w:val="24"/>
        </w:rPr>
        <w:t xml:space="preserve"> двусторонний стеноз почечных артерий или стеноз артерии единственной почки, почечная недостаточность, состояни</w:t>
      </w:r>
      <w:r>
        <w:rPr>
          <w:sz w:val="24"/>
          <w:szCs w:val="24"/>
        </w:rPr>
        <w:t>я</w:t>
      </w:r>
      <w:r w:rsidRPr="004F0204">
        <w:rPr>
          <w:sz w:val="24"/>
          <w:szCs w:val="24"/>
        </w:rPr>
        <w:t xml:space="preserve"> после трансплантации почки, аортальный и митральный стеноз, </w:t>
      </w:r>
      <w:proofErr w:type="spellStart"/>
      <w:r w:rsidRPr="004F0204">
        <w:rPr>
          <w:sz w:val="24"/>
          <w:szCs w:val="24"/>
        </w:rPr>
        <w:t>обструктивная</w:t>
      </w:r>
      <w:proofErr w:type="spellEnd"/>
      <w:r w:rsidRPr="004F0204">
        <w:rPr>
          <w:sz w:val="24"/>
          <w:szCs w:val="24"/>
        </w:rPr>
        <w:t xml:space="preserve"> гипертрофическая </w:t>
      </w:r>
      <w:proofErr w:type="spellStart"/>
      <w:r w:rsidRPr="004F0204">
        <w:rPr>
          <w:sz w:val="24"/>
          <w:szCs w:val="24"/>
        </w:rPr>
        <w:t>кардиомиопатия</w:t>
      </w:r>
      <w:proofErr w:type="spellEnd"/>
      <w:r w:rsidRPr="004F0204">
        <w:rPr>
          <w:sz w:val="24"/>
          <w:szCs w:val="24"/>
        </w:rPr>
        <w:t xml:space="preserve">, ангионевротический отек в анамнезе, тяжелая сердечная недостаточность </w:t>
      </w:r>
      <w:r w:rsidRPr="004F0204">
        <w:rPr>
          <w:sz w:val="24"/>
          <w:szCs w:val="24"/>
        </w:rPr>
        <w:br/>
        <w:t>(</w:t>
      </w:r>
      <w:r w:rsidRPr="004F0204">
        <w:rPr>
          <w:sz w:val="24"/>
          <w:szCs w:val="24"/>
          <w:lang w:val="en-US"/>
        </w:rPr>
        <w:t>IV</w:t>
      </w:r>
      <w:r w:rsidRPr="004F0204">
        <w:rPr>
          <w:sz w:val="24"/>
          <w:szCs w:val="24"/>
        </w:rPr>
        <w:t xml:space="preserve"> функциональный класс по классификации </w:t>
      </w:r>
      <w:r w:rsidRPr="004F0204">
        <w:rPr>
          <w:sz w:val="24"/>
          <w:szCs w:val="24"/>
          <w:lang w:val="en-US"/>
        </w:rPr>
        <w:t>NYHA</w:t>
      </w:r>
      <w:r w:rsidRPr="004F0204">
        <w:rPr>
          <w:sz w:val="24"/>
          <w:szCs w:val="24"/>
        </w:rPr>
        <w:t xml:space="preserve">), ишемическая болезнь сердца, </w:t>
      </w:r>
      <w:r w:rsidRPr="004F0204">
        <w:rPr>
          <w:sz w:val="24"/>
          <w:szCs w:val="24"/>
        </w:rPr>
        <w:lastRenderedPageBreak/>
        <w:t>сердечная недостаточность с угрожающими</w:t>
      </w:r>
      <w:proofErr w:type="gramEnd"/>
      <w:r w:rsidRPr="004F0204">
        <w:rPr>
          <w:sz w:val="24"/>
          <w:szCs w:val="24"/>
        </w:rPr>
        <w:t xml:space="preserve"> жизни аритмиями, цереброваскулярные заболевания, </w:t>
      </w:r>
      <w:proofErr w:type="gramStart"/>
      <w:r w:rsidRPr="004F0204">
        <w:rPr>
          <w:sz w:val="24"/>
          <w:szCs w:val="24"/>
        </w:rPr>
        <w:t>первичный</w:t>
      </w:r>
      <w:proofErr w:type="gramEnd"/>
      <w:r w:rsidRPr="004F0204">
        <w:rPr>
          <w:sz w:val="24"/>
          <w:szCs w:val="24"/>
        </w:rPr>
        <w:t xml:space="preserve"> </w:t>
      </w:r>
      <w:proofErr w:type="spellStart"/>
      <w:r w:rsidRPr="004F0204">
        <w:rPr>
          <w:sz w:val="24"/>
          <w:szCs w:val="24"/>
        </w:rPr>
        <w:t>альдостеронизм</w:t>
      </w:r>
      <w:proofErr w:type="spellEnd"/>
      <w:r w:rsidRPr="004F0204">
        <w:rPr>
          <w:sz w:val="24"/>
          <w:szCs w:val="24"/>
        </w:rPr>
        <w:t>, сердечная недостаточность с сопутствующей тяжелой почечной недостаточностью.</w:t>
      </w:r>
    </w:p>
    <w:p w:rsidR="009A1065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9A1065" w:rsidRPr="001A26F0" w:rsidRDefault="009A1065" w:rsidP="009A1065">
      <w:pPr>
        <w:suppressAutoHyphens/>
        <w:jc w:val="both"/>
        <w:rPr>
          <w:b/>
          <w:sz w:val="24"/>
          <w:szCs w:val="24"/>
        </w:rPr>
      </w:pPr>
      <w:r w:rsidRPr="001A26F0">
        <w:rPr>
          <w:b/>
          <w:sz w:val="24"/>
          <w:szCs w:val="24"/>
        </w:rPr>
        <w:t>Применение при беременности и в период грудного вскармливания</w:t>
      </w:r>
    </w:p>
    <w:p w:rsidR="009A1065" w:rsidRPr="001A26F0" w:rsidRDefault="009A1065" w:rsidP="009A1065">
      <w:pPr>
        <w:suppressAutoHyphens/>
        <w:jc w:val="both"/>
        <w:rPr>
          <w:sz w:val="24"/>
          <w:szCs w:val="24"/>
        </w:rPr>
      </w:pPr>
      <w:r w:rsidRPr="001A26F0">
        <w:rPr>
          <w:sz w:val="24"/>
          <w:szCs w:val="24"/>
        </w:rPr>
        <w:t xml:space="preserve">Применение </w:t>
      </w:r>
      <w:proofErr w:type="spellStart"/>
      <w:r w:rsidRPr="001A26F0">
        <w:rPr>
          <w:sz w:val="24"/>
          <w:szCs w:val="24"/>
        </w:rPr>
        <w:t>Лозартана</w:t>
      </w:r>
      <w:proofErr w:type="spellEnd"/>
      <w:r w:rsidRPr="001A26F0">
        <w:rPr>
          <w:sz w:val="24"/>
          <w:szCs w:val="24"/>
        </w:rPr>
        <w:t xml:space="preserve"> при беременности противопоказано.</w:t>
      </w:r>
    </w:p>
    <w:p w:rsidR="009A1065" w:rsidRPr="00B11D1D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1A26F0">
        <w:rPr>
          <w:sz w:val="24"/>
          <w:szCs w:val="24"/>
        </w:rPr>
        <w:t xml:space="preserve">Препараты, воздействующие непосредственно </w:t>
      </w:r>
      <w:r w:rsidRPr="00B11D1D">
        <w:rPr>
          <w:sz w:val="24"/>
          <w:szCs w:val="24"/>
        </w:rPr>
        <w:t>на ренин-</w:t>
      </w:r>
      <w:proofErr w:type="spellStart"/>
      <w:r w:rsidRPr="00B11D1D">
        <w:rPr>
          <w:sz w:val="24"/>
          <w:szCs w:val="24"/>
        </w:rPr>
        <w:t>ангиотензин</w:t>
      </w:r>
      <w:proofErr w:type="spellEnd"/>
      <w:r w:rsidRPr="00B11D1D">
        <w:rPr>
          <w:sz w:val="24"/>
          <w:szCs w:val="24"/>
        </w:rPr>
        <w:t>-</w:t>
      </w:r>
      <w:proofErr w:type="spellStart"/>
      <w:r w:rsidRPr="00B11D1D">
        <w:rPr>
          <w:sz w:val="24"/>
          <w:szCs w:val="24"/>
        </w:rPr>
        <w:t>альдостероновую</w:t>
      </w:r>
      <w:proofErr w:type="spellEnd"/>
      <w:r w:rsidRPr="00B11D1D">
        <w:rPr>
          <w:sz w:val="24"/>
          <w:szCs w:val="24"/>
        </w:rPr>
        <w:t xml:space="preserve"> систему (РААС), при применении их во II и III триместрах беременности могут вызывать дефект развития или даже смерть развивающегося плода. Поэтому при диагностировании беременности прием </w:t>
      </w:r>
      <w:proofErr w:type="spellStart"/>
      <w:r w:rsidRPr="00B11D1D">
        <w:rPr>
          <w:sz w:val="24"/>
          <w:szCs w:val="24"/>
        </w:rPr>
        <w:t>Лозартана</w:t>
      </w:r>
      <w:proofErr w:type="spellEnd"/>
      <w:r w:rsidRPr="00B11D1D">
        <w:rPr>
          <w:sz w:val="24"/>
          <w:szCs w:val="24"/>
        </w:rPr>
        <w:t xml:space="preserve"> следует немедленно прекратить. </w:t>
      </w:r>
    </w:p>
    <w:p w:rsidR="009A1065" w:rsidRPr="00B11D1D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B11D1D">
        <w:rPr>
          <w:sz w:val="24"/>
          <w:szCs w:val="24"/>
        </w:rPr>
        <w:t>В экспериментальных исследованиях показано, что препарат вызывает дефекты развития и приводит к смерти плода или новорожденного. Считается, что механизм такого воздействия состоит в фармакологически опосредованном влиянии на РААС.</w:t>
      </w:r>
    </w:p>
    <w:p w:rsidR="009A1065" w:rsidRPr="001A26F0" w:rsidRDefault="009A1065" w:rsidP="009A1065">
      <w:pPr>
        <w:suppressAutoHyphens/>
        <w:jc w:val="both"/>
        <w:rPr>
          <w:sz w:val="24"/>
          <w:szCs w:val="24"/>
        </w:rPr>
      </w:pPr>
      <w:r w:rsidRPr="00B11D1D">
        <w:rPr>
          <w:sz w:val="24"/>
          <w:szCs w:val="24"/>
        </w:rPr>
        <w:t xml:space="preserve">Почечная перфузия плода человека, зависящая от развития РААС, начинается во II триместре. Риск для плода возрастает, если </w:t>
      </w:r>
      <w:proofErr w:type="spellStart"/>
      <w:r w:rsidRPr="00B11D1D">
        <w:rPr>
          <w:sz w:val="24"/>
          <w:szCs w:val="24"/>
        </w:rPr>
        <w:t>Лозартан</w:t>
      </w:r>
      <w:proofErr w:type="spellEnd"/>
      <w:r w:rsidRPr="00B11D1D">
        <w:rPr>
          <w:sz w:val="24"/>
          <w:szCs w:val="24"/>
        </w:rPr>
        <w:t xml:space="preserve"> принимают</w:t>
      </w:r>
      <w:r w:rsidRPr="001A26F0">
        <w:rPr>
          <w:sz w:val="24"/>
          <w:szCs w:val="24"/>
        </w:rPr>
        <w:t xml:space="preserve"> во II или III триместре беременности. Применение антагонистов рецепторов </w:t>
      </w:r>
      <w:proofErr w:type="spellStart"/>
      <w:r w:rsidRPr="001A26F0">
        <w:rPr>
          <w:sz w:val="24"/>
          <w:szCs w:val="24"/>
        </w:rPr>
        <w:t>ангиотензина</w:t>
      </w:r>
      <w:proofErr w:type="spellEnd"/>
      <w:r w:rsidRPr="001A26F0">
        <w:rPr>
          <w:sz w:val="24"/>
          <w:szCs w:val="24"/>
        </w:rPr>
        <w:t xml:space="preserve"> </w:t>
      </w:r>
      <w:r w:rsidRPr="001A26F0">
        <w:rPr>
          <w:sz w:val="24"/>
          <w:szCs w:val="24"/>
          <w:lang w:val="en-US"/>
        </w:rPr>
        <w:t>II</w:t>
      </w:r>
      <w:r w:rsidRPr="001A26F0">
        <w:rPr>
          <w:sz w:val="24"/>
          <w:szCs w:val="24"/>
        </w:rPr>
        <w:t xml:space="preserve"> во II или III триместрах беременности оказывает токсическое действие на плод (снижение функции почек, развитие </w:t>
      </w:r>
      <w:proofErr w:type="spellStart"/>
      <w:r w:rsidRPr="001A26F0">
        <w:rPr>
          <w:sz w:val="24"/>
          <w:szCs w:val="24"/>
        </w:rPr>
        <w:t>олигогидрамниона</w:t>
      </w:r>
      <w:proofErr w:type="spellEnd"/>
      <w:r w:rsidRPr="001A26F0">
        <w:rPr>
          <w:sz w:val="24"/>
          <w:szCs w:val="24"/>
        </w:rPr>
        <w:t xml:space="preserve">, замедление </w:t>
      </w:r>
      <w:proofErr w:type="spellStart"/>
      <w:r w:rsidRPr="001A26F0">
        <w:rPr>
          <w:sz w:val="24"/>
          <w:szCs w:val="24"/>
        </w:rPr>
        <w:t>оссификации</w:t>
      </w:r>
      <w:proofErr w:type="spellEnd"/>
      <w:r w:rsidRPr="001A26F0">
        <w:rPr>
          <w:sz w:val="24"/>
          <w:szCs w:val="24"/>
        </w:rPr>
        <w:t xml:space="preserve"> черепа) и новорожденного (почечная недостаточность, артериальная гипотензия, </w:t>
      </w:r>
      <w:proofErr w:type="spellStart"/>
      <w:r w:rsidRPr="001A26F0">
        <w:rPr>
          <w:sz w:val="24"/>
          <w:szCs w:val="24"/>
        </w:rPr>
        <w:t>гиперкалиемия</w:t>
      </w:r>
      <w:proofErr w:type="spellEnd"/>
      <w:r w:rsidRPr="001A26F0">
        <w:rPr>
          <w:sz w:val="24"/>
          <w:szCs w:val="24"/>
        </w:rPr>
        <w:t xml:space="preserve">). Если препарат </w:t>
      </w:r>
      <w:proofErr w:type="spellStart"/>
      <w:r w:rsidRPr="001A26F0">
        <w:rPr>
          <w:sz w:val="24"/>
          <w:szCs w:val="24"/>
        </w:rPr>
        <w:t>Лозартан</w:t>
      </w:r>
      <w:proofErr w:type="spellEnd"/>
      <w:r w:rsidRPr="001A26F0">
        <w:rPr>
          <w:sz w:val="24"/>
          <w:szCs w:val="24"/>
        </w:rPr>
        <w:t xml:space="preserve"> применялся во II триместре беременности и позже, рекомендуется проведение УЗИ костей черепа и оценить функцию почек. </w:t>
      </w:r>
    </w:p>
    <w:p w:rsidR="009A1065" w:rsidRPr="007517FE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1A26F0">
        <w:rPr>
          <w:sz w:val="24"/>
          <w:szCs w:val="24"/>
        </w:rPr>
        <w:t xml:space="preserve">Неизвестно, выделяется ли </w:t>
      </w:r>
      <w:proofErr w:type="spellStart"/>
      <w:r w:rsidRPr="001A26F0">
        <w:rPr>
          <w:sz w:val="24"/>
          <w:szCs w:val="24"/>
        </w:rPr>
        <w:t>лозартан</w:t>
      </w:r>
      <w:proofErr w:type="spellEnd"/>
      <w:r w:rsidRPr="001A26F0">
        <w:rPr>
          <w:sz w:val="24"/>
          <w:szCs w:val="24"/>
        </w:rPr>
        <w:t xml:space="preserve"> с грудным молоком. При применении </w:t>
      </w:r>
      <w:proofErr w:type="spellStart"/>
      <w:r w:rsidRPr="001A26F0">
        <w:rPr>
          <w:sz w:val="24"/>
          <w:szCs w:val="24"/>
        </w:rPr>
        <w:t>Лозартана</w:t>
      </w:r>
      <w:proofErr w:type="spellEnd"/>
      <w:r w:rsidRPr="001A26F0">
        <w:rPr>
          <w:sz w:val="24"/>
          <w:szCs w:val="24"/>
        </w:rPr>
        <w:t xml:space="preserve"> в </w:t>
      </w:r>
      <w:r w:rsidRPr="001A26F0">
        <w:rPr>
          <w:sz w:val="24"/>
          <w:szCs w:val="24"/>
        </w:rPr>
        <w:br/>
        <w:t>период грудного вскармливания следует принять решение или о прекращении грудного вскармливания, или о прекращении лечения препаратом, принимая во внимание важность его для матери.</w:t>
      </w:r>
    </w:p>
    <w:p w:rsidR="009A1065" w:rsidRPr="00C4193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</w:p>
    <w:p w:rsidR="009A1065" w:rsidRPr="007517FE" w:rsidRDefault="009A1065" w:rsidP="009A1065">
      <w:pPr>
        <w:pStyle w:val="11"/>
        <w:suppressAutoHyphens/>
        <w:jc w:val="both"/>
        <w:rPr>
          <w:b/>
          <w:color w:val="auto"/>
        </w:rPr>
      </w:pPr>
      <w:r w:rsidRPr="007517FE">
        <w:rPr>
          <w:b/>
          <w:color w:val="auto"/>
        </w:rPr>
        <w:t>Способ применения и дозы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>
        <w:t>В</w:t>
      </w:r>
      <w:r w:rsidRPr="007517FE">
        <w:t>нутрь</w:t>
      </w:r>
      <w:r>
        <w:t>,</w:t>
      </w:r>
      <w:r w:rsidRPr="007517FE">
        <w:t xml:space="preserve"> вне зависимости от приема пищи.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Препарат можно принимать как в виде </w:t>
      </w:r>
      <w:proofErr w:type="spellStart"/>
      <w:r w:rsidRPr="007517FE">
        <w:t>монотерапии</w:t>
      </w:r>
      <w:proofErr w:type="spellEnd"/>
      <w:r w:rsidRPr="007517FE">
        <w:t>, так и в комбинации с другими гип</w:t>
      </w:r>
      <w:r>
        <w:t>о</w:t>
      </w:r>
      <w:r w:rsidRPr="007517FE">
        <w:t xml:space="preserve">тензивными препаратами. 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7517FE">
        <w:rPr>
          <w:i/>
        </w:rPr>
        <w:t>Артериальная гипертензия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Стандартная начальная и поддерживающая доза для большинства </w:t>
      </w:r>
      <w:r>
        <w:t>пациентов</w:t>
      </w:r>
      <w:r w:rsidRPr="007517FE">
        <w:t xml:space="preserve"> составляет </w:t>
      </w:r>
      <w:r w:rsidRPr="00004C11">
        <w:br/>
      </w:r>
      <w:r w:rsidRPr="007517FE">
        <w:t>50 мг 1 раз</w:t>
      </w:r>
      <w:r>
        <w:t xml:space="preserve"> в </w:t>
      </w:r>
      <w:r w:rsidRPr="007517FE">
        <w:t>сут</w:t>
      </w:r>
      <w:r>
        <w:t>ки</w:t>
      </w:r>
      <w:r w:rsidRPr="007517FE">
        <w:t xml:space="preserve">. Максимальный </w:t>
      </w:r>
      <w:proofErr w:type="spellStart"/>
      <w:r>
        <w:t>антигипер</w:t>
      </w:r>
      <w:r w:rsidRPr="007517FE">
        <w:t>тензивный</w:t>
      </w:r>
      <w:proofErr w:type="spellEnd"/>
      <w:r w:rsidRPr="007517FE">
        <w:t xml:space="preserve"> эффект достигается через 3-6 недель от начала терапии.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У некоторых </w:t>
      </w:r>
      <w:r>
        <w:t>пациентов</w:t>
      </w:r>
      <w:r w:rsidRPr="007517FE">
        <w:t xml:space="preserve"> для достижения большего эффекта доза может быть увеличена до максимальной суточной дозы 100 мг 1 </w:t>
      </w:r>
      <w:r w:rsidRPr="00156552">
        <w:t>раз в сутки</w:t>
      </w:r>
      <w:r w:rsidRPr="007517FE">
        <w:t>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У </w:t>
      </w:r>
      <w:r>
        <w:t>пациентов</w:t>
      </w:r>
      <w:r w:rsidRPr="007517FE">
        <w:t xml:space="preserve"> со сниженным объемом циркулирующей крови (например, при приеме диуретиков в больших дозах) начальную дозу препарата следует снизить до 25 мг 1 </w:t>
      </w:r>
      <w:r w:rsidRPr="00156552">
        <w:t>раз в сутки</w:t>
      </w:r>
      <w:r w:rsidRPr="00156552" w:rsidDel="00156552">
        <w:t xml:space="preserve"> </w:t>
      </w:r>
      <w:r w:rsidRPr="007517FE">
        <w:t xml:space="preserve">(см. </w:t>
      </w:r>
      <w:r w:rsidRPr="0000619A">
        <w:t>раздел</w:t>
      </w:r>
      <w:r>
        <w:t xml:space="preserve"> </w:t>
      </w:r>
      <w:r w:rsidRPr="007517FE">
        <w:t>«Особые указания»).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Нет </w:t>
      </w:r>
      <w:r>
        <w:t xml:space="preserve">необходимости в подборе </w:t>
      </w:r>
      <w:r w:rsidRPr="007517FE">
        <w:t xml:space="preserve">начальной дозы у </w:t>
      </w:r>
      <w:r>
        <w:t>пациентов</w:t>
      </w:r>
      <w:r w:rsidRPr="007517FE">
        <w:t xml:space="preserve"> пожилого возра</w:t>
      </w:r>
      <w:r>
        <w:t>с</w:t>
      </w:r>
      <w:r w:rsidRPr="007517FE">
        <w:t xml:space="preserve">та и у </w:t>
      </w:r>
      <w:r>
        <w:t>пациентов</w:t>
      </w:r>
      <w:r w:rsidRPr="007517FE">
        <w:t xml:space="preserve"> с почечной недостаточностью, включая пациентов на диализе. 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>Пациентам</w:t>
      </w:r>
      <w:r w:rsidRPr="007517FE">
        <w:rPr>
          <w:i/>
        </w:rPr>
        <w:t xml:space="preserve"> с печеночной недостаточностью (менее 9 баллов по шкале </w:t>
      </w:r>
      <w:proofErr w:type="spellStart"/>
      <w:r w:rsidRPr="007517FE">
        <w:rPr>
          <w:i/>
        </w:rPr>
        <w:t>Чайлд</w:t>
      </w:r>
      <w:proofErr w:type="spellEnd"/>
      <w:r w:rsidRPr="007517FE">
        <w:rPr>
          <w:i/>
        </w:rPr>
        <w:t xml:space="preserve">-Пью) при проведении процедуры гемодиализа, а также пациентам старше 75 </w:t>
      </w:r>
      <w:r w:rsidRPr="00721394">
        <w:rPr>
          <w:i/>
        </w:rPr>
        <w:t>лет</w:t>
      </w:r>
      <w:r w:rsidRPr="007517FE">
        <w:t xml:space="preserve"> рекомендуется назначать препарат в более низкой начальной дозе 25 мг 1 раз в сутки.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7517FE">
        <w:rPr>
          <w:i/>
        </w:rPr>
        <w:t xml:space="preserve">Снижение риска ассоциированной </w:t>
      </w:r>
      <w:proofErr w:type="gramStart"/>
      <w:r w:rsidRPr="007517FE">
        <w:rPr>
          <w:i/>
        </w:rPr>
        <w:t>сердечно-сосудистой</w:t>
      </w:r>
      <w:proofErr w:type="gramEnd"/>
      <w:r w:rsidRPr="007517FE">
        <w:rPr>
          <w:i/>
        </w:rPr>
        <w:t xml:space="preserve"> заболеваемости и смертности у </w:t>
      </w:r>
      <w:r w:rsidRPr="007517FE">
        <w:rPr>
          <w:i/>
        </w:rPr>
        <w:br/>
      </w:r>
      <w:r>
        <w:rPr>
          <w:i/>
        </w:rPr>
        <w:t>пациентов</w:t>
      </w:r>
      <w:r w:rsidRPr="007517FE">
        <w:rPr>
          <w:i/>
        </w:rPr>
        <w:t xml:space="preserve"> с артериальной гипертензией и гипертрофией левого желудочка</w:t>
      </w:r>
    </w:p>
    <w:p w:rsidR="009A1065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 xml:space="preserve">Стандартная начальная доза препарата составляет 50 мг 1 </w:t>
      </w:r>
      <w:r w:rsidRPr="00156552">
        <w:t>раз в сутки</w:t>
      </w:r>
      <w:r w:rsidRPr="007517FE">
        <w:t xml:space="preserve">. В дальнейшем рекомендуется добавить </w:t>
      </w:r>
      <w:proofErr w:type="spellStart"/>
      <w:r w:rsidRPr="001A0DDD">
        <w:t>гидрохлоротиазид</w:t>
      </w:r>
      <w:proofErr w:type="spellEnd"/>
      <w:r w:rsidRPr="001A0DDD">
        <w:t xml:space="preserve"> </w:t>
      </w:r>
      <w:r w:rsidRPr="007517FE">
        <w:t xml:space="preserve">или увеличить дозу </w:t>
      </w:r>
      <w:proofErr w:type="spellStart"/>
      <w:r>
        <w:t>Л</w:t>
      </w:r>
      <w:r w:rsidRPr="007517FE">
        <w:t>озартана</w:t>
      </w:r>
      <w:proofErr w:type="spellEnd"/>
      <w:r w:rsidRPr="007517FE">
        <w:t xml:space="preserve"> до 100 мг (с учетом степени снижения артериального давления (АД)) в один или в два приема.</w:t>
      </w:r>
    </w:p>
    <w:p w:rsidR="009A1065" w:rsidRPr="007517FE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7517FE">
        <w:rPr>
          <w:i/>
        </w:rPr>
        <w:t>Защита почек у пациентов с сахарным диабетом</w:t>
      </w:r>
      <w:r>
        <w:rPr>
          <w:i/>
        </w:rPr>
        <w:t xml:space="preserve"> 2</w:t>
      </w:r>
      <w:r w:rsidRPr="007517FE">
        <w:rPr>
          <w:i/>
        </w:rPr>
        <w:t xml:space="preserve"> типа и протеинурией</w:t>
      </w:r>
    </w:p>
    <w:p w:rsidR="009A1065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7517FE">
        <w:t>Стандартная начальная доза препарата составляет 50 мг 1</w:t>
      </w:r>
      <w:r>
        <w:t xml:space="preserve"> </w:t>
      </w:r>
      <w:r w:rsidRPr="009669A7">
        <w:t>раз в сутки</w:t>
      </w:r>
      <w:r w:rsidRPr="007517FE">
        <w:t xml:space="preserve">. В дальнейшем рекомендуется увеличить дозу </w:t>
      </w:r>
      <w:proofErr w:type="spellStart"/>
      <w:r>
        <w:t>Л</w:t>
      </w:r>
      <w:r w:rsidRPr="007517FE">
        <w:t>озартана</w:t>
      </w:r>
      <w:proofErr w:type="spellEnd"/>
      <w:r w:rsidRPr="007517FE">
        <w:t xml:space="preserve"> до 100 мг 1 </w:t>
      </w:r>
      <w:r w:rsidRPr="00156552">
        <w:t>раз в сутки</w:t>
      </w:r>
      <w:r w:rsidRPr="00156552" w:rsidDel="00156552">
        <w:t xml:space="preserve"> </w:t>
      </w:r>
      <w:r w:rsidRPr="007517FE">
        <w:t xml:space="preserve">с учетом степени </w:t>
      </w:r>
      <w:r w:rsidRPr="007517FE">
        <w:lastRenderedPageBreak/>
        <w:t xml:space="preserve">снижения АД. </w:t>
      </w:r>
      <w:proofErr w:type="spellStart"/>
      <w:r w:rsidRPr="007517FE">
        <w:t>Лозартан</w:t>
      </w:r>
      <w:proofErr w:type="spellEnd"/>
      <w:r w:rsidRPr="007517FE">
        <w:t xml:space="preserve"> может быть назначен совместно с другими гип</w:t>
      </w:r>
      <w:r>
        <w:t>о</w:t>
      </w:r>
      <w:r w:rsidRPr="007517FE">
        <w:t>тензивными препаратами (диуретик</w:t>
      </w:r>
      <w:r>
        <w:t>ам</w:t>
      </w:r>
      <w:r w:rsidRPr="007517FE">
        <w:t>и, блокатор</w:t>
      </w:r>
      <w:r>
        <w:t>ами</w:t>
      </w:r>
      <w:r w:rsidRPr="007517FE">
        <w:t xml:space="preserve"> «медленных» кальциевых каналов, альф</w:t>
      </w:r>
      <w:proofErr w:type="gramStart"/>
      <w:r w:rsidRPr="007517FE">
        <w:t>а-</w:t>
      </w:r>
      <w:proofErr w:type="gramEnd"/>
      <w:r w:rsidRPr="007517FE">
        <w:t xml:space="preserve"> и бета-адреноблокатор</w:t>
      </w:r>
      <w:r>
        <w:t>ами</w:t>
      </w:r>
      <w:r w:rsidRPr="004F0204">
        <w:t>, гипотензивными препаратами центрального действия),</w:t>
      </w:r>
      <w:r w:rsidRPr="007517FE">
        <w:t xml:space="preserve"> инсулином и другими гипогликемическими препаратами (производны</w:t>
      </w:r>
      <w:r>
        <w:t>ми</w:t>
      </w:r>
      <w:r w:rsidRPr="007517FE">
        <w:t xml:space="preserve"> </w:t>
      </w:r>
      <w:proofErr w:type="spellStart"/>
      <w:r w:rsidRPr="007517FE">
        <w:t>сульфонилмочевины</w:t>
      </w:r>
      <w:proofErr w:type="spellEnd"/>
      <w:r w:rsidRPr="007517FE">
        <w:t xml:space="preserve">, </w:t>
      </w:r>
      <w:proofErr w:type="spellStart"/>
      <w:r w:rsidRPr="007517FE">
        <w:t>глитазон</w:t>
      </w:r>
      <w:r>
        <w:t>ами</w:t>
      </w:r>
      <w:proofErr w:type="spellEnd"/>
      <w:r w:rsidRPr="007517FE">
        <w:t xml:space="preserve"> и ингибитор</w:t>
      </w:r>
      <w:r>
        <w:t>ами</w:t>
      </w:r>
      <w:r w:rsidRPr="007517FE">
        <w:t xml:space="preserve"> </w:t>
      </w:r>
      <w:proofErr w:type="spellStart"/>
      <w:r w:rsidRPr="007517FE">
        <w:t>глюкозидазы</w:t>
      </w:r>
      <w:proofErr w:type="spellEnd"/>
      <w:r w:rsidRPr="007517FE">
        <w:t xml:space="preserve">). 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  <w:rPr>
          <w:i/>
        </w:rPr>
      </w:pPr>
      <w:r w:rsidRPr="007517FE">
        <w:rPr>
          <w:i/>
        </w:rPr>
        <w:t xml:space="preserve">Хроническая </w:t>
      </w:r>
      <w:r w:rsidRPr="008452C1">
        <w:rPr>
          <w:i/>
        </w:rPr>
        <w:t>сердечная недостаточность</w:t>
      </w:r>
    </w:p>
    <w:p w:rsidR="009A1065" w:rsidRPr="008452C1" w:rsidRDefault="009A1065" w:rsidP="009A1065">
      <w:pPr>
        <w:pStyle w:val="a5"/>
        <w:suppressAutoHyphens/>
        <w:spacing w:before="0" w:beforeAutospacing="0" w:after="0" w:afterAutospacing="0"/>
        <w:jc w:val="both"/>
      </w:pPr>
      <w:r w:rsidRPr="008452C1">
        <w:t>Начальная доза препарата составляет 12,5 мг 1 раз в сутки. Как правило, доза титруется с недельным интервалом (т. е. 12,5 мг 1 раз в сутки, 25 мг 1 раз в сутки, 50 мг 1 раз в сутки) до обычной поддерживающей дозы 50 мг 1 раз в сутки в зависимости от индивидуальной переносимости.</w:t>
      </w:r>
    </w:p>
    <w:p w:rsidR="009A1065" w:rsidRPr="008452C1" w:rsidRDefault="009A1065" w:rsidP="009A1065">
      <w:pPr>
        <w:pStyle w:val="11"/>
        <w:suppressAutoHyphens/>
        <w:jc w:val="both"/>
        <w:rPr>
          <w:b/>
          <w:i/>
          <w:color w:val="auto"/>
        </w:rPr>
      </w:pPr>
    </w:p>
    <w:p w:rsidR="009A1065" w:rsidRPr="008452C1" w:rsidRDefault="009A1065" w:rsidP="009A1065">
      <w:pPr>
        <w:pStyle w:val="11"/>
        <w:suppressAutoHyphens/>
        <w:jc w:val="both"/>
        <w:rPr>
          <w:b/>
          <w:color w:val="auto"/>
        </w:rPr>
      </w:pPr>
      <w:r w:rsidRPr="008452C1">
        <w:rPr>
          <w:b/>
          <w:color w:val="auto"/>
        </w:rPr>
        <w:t>Побочное действие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В большинстве случаев </w:t>
      </w:r>
      <w:proofErr w:type="spellStart"/>
      <w:r w:rsidRPr="008452C1">
        <w:rPr>
          <w:sz w:val="24"/>
          <w:szCs w:val="24"/>
        </w:rPr>
        <w:t>лозартан</w:t>
      </w:r>
      <w:proofErr w:type="spellEnd"/>
      <w:r w:rsidRPr="008452C1">
        <w:rPr>
          <w:sz w:val="24"/>
          <w:szCs w:val="24"/>
        </w:rPr>
        <w:t xml:space="preserve"> хорошо переносится, побочные эффекты носят слабый и преходящий характер и не требуют отмены препарата.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Побочные эффекты, наблюдаемые при приеме препарата, классифицированы на категории в зависимости от частоты их возникновения: очень часто ≥ 1/10 (10 %); часто &gt; 1/100 </w:t>
      </w:r>
      <w:r w:rsidRPr="008452C1">
        <w:rPr>
          <w:sz w:val="24"/>
          <w:szCs w:val="24"/>
        </w:rPr>
        <w:br/>
        <w:t xml:space="preserve">(1 %) ≤ 1/10 (10 %); иногда ≥ 1/1000 (0,1 %), ≤ 1/100 (1 %); редко ≥1/10000 (0,01 %), </w:t>
      </w:r>
      <w:r w:rsidRPr="008452C1">
        <w:rPr>
          <w:sz w:val="24"/>
          <w:szCs w:val="24"/>
        </w:rPr>
        <w:br/>
        <w:t>≤ 1/1000 (0,1 %); очень редко ≤ 1/10000 (0,01 %), включая отдельные события.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  <w:u w:val="single"/>
        </w:rPr>
      </w:pPr>
      <w:r w:rsidRPr="008452C1">
        <w:rPr>
          <w:sz w:val="24"/>
          <w:szCs w:val="24"/>
          <w:u w:val="single"/>
        </w:rPr>
        <w:t>Побочные эффекты, встречающиеся с частотой более 1 %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>Общие нарушения</w:t>
      </w:r>
      <w:r w:rsidRPr="007E31B1">
        <w:rPr>
          <w:iCs/>
          <w:sz w:val="24"/>
          <w:szCs w:val="24"/>
        </w:rPr>
        <w:t>:</w:t>
      </w:r>
      <w:r w:rsidRPr="008452C1">
        <w:rPr>
          <w:i/>
          <w:iCs/>
          <w:sz w:val="24"/>
          <w:szCs w:val="24"/>
        </w:rPr>
        <w:t xml:space="preserve"> </w:t>
      </w:r>
      <w:r w:rsidRPr="008452C1">
        <w:rPr>
          <w:iCs/>
          <w:sz w:val="24"/>
          <w:szCs w:val="24"/>
        </w:rPr>
        <w:t>астения, слабость, повышенная утомляемость,</w:t>
      </w:r>
      <w:r w:rsidRPr="008452C1">
        <w:rPr>
          <w:sz w:val="24"/>
          <w:szCs w:val="24"/>
        </w:rPr>
        <w:t xml:space="preserve"> боль в области грудной клетки, периферические отеки.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 xml:space="preserve">Со стороны </w:t>
      </w:r>
      <w:proofErr w:type="gramStart"/>
      <w:r w:rsidRPr="008452C1">
        <w:rPr>
          <w:i/>
          <w:sz w:val="24"/>
          <w:szCs w:val="24"/>
        </w:rPr>
        <w:t>сердечно-сосудистой</w:t>
      </w:r>
      <w:proofErr w:type="gramEnd"/>
      <w:r w:rsidRPr="008452C1">
        <w:rPr>
          <w:i/>
          <w:sz w:val="24"/>
          <w:szCs w:val="24"/>
        </w:rPr>
        <w:t xml:space="preserve"> системы</w:t>
      </w:r>
      <w:r w:rsidRPr="008452C1">
        <w:rPr>
          <w:sz w:val="24"/>
          <w:szCs w:val="24"/>
        </w:rPr>
        <w:t>:</w:t>
      </w:r>
      <w:r w:rsidRPr="008452C1">
        <w:rPr>
          <w:i/>
          <w:sz w:val="24"/>
          <w:szCs w:val="24"/>
        </w:rPr>
        <w:t xml:space="preserve"> </w:t>
      </w:r>
      <w:r w:rsidRPr="008452C1">
        <w:rPr>
          <w:sz w:val="24"/>
          <w:szCs w:val="24"/>
        </w:rPr>
        <w:t xml:space="preserve">ощущение сердцебиения, тахикардия. 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пищеварительной системы</w:t>
      </w:r>
      <w:r w:rsidRPr="008452C1">
        <w:rPr>
          <w:sz w:val="24"/>
          <w:szCs w:val="24"/>
        </w:rPr>
        <w:t xml:space="preserve">: боль в животе, диарея, диспепсия, тошнота.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опорно-двигательного аппарата</w:t>
      </w:r>
      <w:r w:rsidRPr="008452C1">
        <w:rPr>
          <w:sz w:val="24"/>
          <w:szCs w:val="24"/>
        </w:rPr>
        <w:t>: боль в спине, ногах, мышечные судороги.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центральной нервной системы (ЦНС)</w:t>
      </w:r>
      <w:r w:rsidRPr="008452C1">
        <w:rPr>
          <w:sz w:val="24"/>
          <w:szCs w:val="24"/>
        </w:rPr>
        <w:t>: головокружение, головная боль, бессонница.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 стороны дыхательной системы</w:t>
      </w:r>
      <w:r w:rsidRPr="008452C1">
        <w:rPr>
          <w:sz w:val="24"/>
          <w:szCs w:val="24"/>
        </w:rPr>
        <w:t>: кашель, бронхит, отек слизистой оболочки носа, фарингит, синусит, инфекции верхних отделов дыхательных путей. 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  <w:u w:val="single"/>
        </w:rPr>
      </w:pPr>
      <w:r w:rsidRPr="008452C1">
        <w:rPr>
          <w:sz w:val="24"/>
          <w:szCs w:val="24"/>
          <w:u w:val="single"/>
        </w:rPr>
        <w:t>Побочные эффекты, встречающиеся с частотой менее 1 %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00619A">
        <w:rPr>
          <w:i/>
          <w:sz w:val="24"/>
          <w:szCs w:val="24"/>
        </w:rPr>
        <w:t xml:space="preserve">Со стороны </w:t>
      </w:r>
      <w:proofErr w:type="gramStart"/>
      <w:r w:rsidRPr="0000619A">
        <w:rPr>
          <w:i/>
          <w:sz w:val="24"/>
          <w:szCs w:val="24"/>
        </w:rPr>
        <w:t>сердечно-сосудистой</w:t>
      </w:r>
      <w:proofErr w:type="gramEnd"/>
      <w:r w:rsidRPr="0000619A">
        <w:rPr>
          <w:i/>
          <w:sz w:val="24"/>
          <w:szCs w:val="24"/>
        </w:rPr>
        <w:t xml:space="preserve"> системы</w:t>
      </w:r>
      <w:r w:rsidRPr="0000619A">
        <w:rPr>
          <w:sz w:val="24"/>
          <w:szCs w:val="24"/>
        </w:rPr>
        <w:t>:</w:t>
      </w:r>
      <w:r w:rsidRPr="0000619A">
        <w:rPr>
          <w:i/>
          <w:sz w:val="24"/>
          <w:szCs w:val="24"/>
        </w:rPr>
        <w:t xml:space="preserve"> </w:t>
      </w:r>
      <w:r w:rsidRPr="0000619A">
        <w:rPr>
          <w:sz w:val="24"/>
          <w:szCs w:val="24"/>
        </w:rPr>
        <w:t>стенокардия, симптоматическая артериальная гипотензия (особенно у пациентов с внутрисосудистой</w:t>
      </w:r>
      <w:r w:rsidRPr="008452C1">
        <w:rPr>
          <w:sz w:val="24"/>
          <w:szCs w:val="24"/>
        </w:rPr>
        <w:t xml:space="preserve"> дегидратацией, например, пациенты с тяжелой сердечной недостаточностью или при приеме диуретиков в высоких дозах), </w:t>
      </w:r>
      <w:proofErr w:type="spellStart"/>
      <w:r w:rsidRPr="008452C1">
        <w:rPr>
          <w:sz w:val="24"/>
          <w:szCs w:val="24"/>
        </w:rPr>
        <w:t>дозозависимая</w:t>
      </w:r>
      <w:proofErr w:type="spellEnd"/>
      <w:r w:rsidRPr="008452C1">
        <w:rPr>
          <w:sz w:val="24"/>
          <w:szCs w:val="24"/>
        </w:rPr>
        <w:t xml:space="preserve"> ортостатическая гипотензия, брадикардия, аритмии, инфаркт миокарда, </w:t>
      </w:r>
      <w:proofErr w:type="spellStart"/>
      <w:r w:rsidRPr="008452C1">
        <w:rPr>
          <w:sz w:val="24"/>
          <w:szCs w:val="24"/>
        </w:rPr>
        <w:t>васкулит</w:t>
      </w:r>
      <w:proofErr w:type="spellEnd"/>
      <w:r w:rsidRPr="008452C1">
        <w:rPr>
          <w:sz w:val="24"/>
          <w:szCs w:val="24"/>
        </w:rPr>
        <w:t>.</w:t>
      </w:r>
      <w:r w:rsidRPr="008452C1">
        <w:rPr>
          <w:i/>
          <w:sz w:val="24"/>
          <w:szCs w:val="24"/>
        </w:rPr>
        <w:t xml:space="preserve">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пищеварительной системы</w:t>
      </w:r>
      <w:r w:rsidRPr="008452C1">
        <w:rPr>
          <w:sz w:val="24"/>
          <w:szCs w:val="24"/>
        </w:rPr>
        <w:t>: анорексия, сухость слизистой оболочки полости рта, зубная боль, метеоризм, гастрит, запор, гепатит, нарушения функции печени, рвота.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кожных покровов</w:t>
      </w:r>
      <w:r w:rsidRPr="008452C1">
        <w:rPr>
          <w:sz w:val="24"/>
          <w:szCs w:val="24"/>
        </w:rPr>
        <w:t xml:space="preserve">: сухость кожи, </w:t>
      </w:r>
      <w:proofErr w:type="spellStart"/>
      <w:r w:rsidRPr="008452C1">
        <w:rPr>
          <w:sz w:val="24"/>
          <w:szCs w:val="24"/>
        </w:rPr>
        <w:t>экхимозы</w:t>
      </w:r>
      <w:proofErr w:type="spellEnd"/>
      <w:r w:rsidRPr="008452C1">
        <w:rPr>
          <w:sz w:val="24"/>
          <w:szCs w:val="24"/>
        </w:rPr>
        <w:t xml:space="preserve">, эритема, </w:t>
      </w:r>
      <w:proofErr w:type="spellStart"/>
      <w:r w:rsidRPr="008452C1">
        <w:rPr>
          <w:sz w:val="24"/>
          <w:szCs w:val="24"/>
        </w:rPr>
        <w:t>фотосенсибилизация</w:t>
      </w:r>
      <w:proofErr w:type="spellEnd"/>
      <w:r w:rsidRPr="008452C1">
        <w:rPr>
          <w:sz w:val="24"/>
          <w:szCs w:val="24"/>
        </w:rPr>
        <w:t xml:space="preserve">, повышенное потоотделение, </w:t>
      </w:r>
      <w:proofErr w:type="spellStart"/>
      <w:r w:rsidRPr="008452C1">
        <w:rPr>
          <w:sz w:val="24"/>
          <w:szCs w:val="24"/>
        </w:rPr>
        <w:t>алопеция</w:t>
      </w:r>
      <w:proofErr w:type="spellEnd"/>
      <w:r w:rsidRPr="008452C1">
        <w:rPr>
          <w:sz w:val="24"/>
          <w:szCs w:val="24"/>
        </w:rPr>
        <w:t xml:space="preserve">.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proofErr w:type="gramStart"/>
      <w:r w:rsidRPr="008452C1">
        <w:rPr>
          <w:i/>
          <w:sz w:val="24"/>
          <w:szCs w:val="24"/>
        </w:rPr>
        <w:t>Аллергические реакции</w:t>
      </w:r>
      <w:r w:rsidRPr="007E31B1">
        <w:rPr>
          <w:sz w:val="24"/>
          <w:szCs w:val="24"/>
        </w:rPr>
        <w:t>:</w:t>
      </w:r>
      <w:r w:rsidRPr="008452C1">
        <w:rPr>
          <w:sz w:val="24"/>
          <w:szCs w:val="24"/>
        </w:rPr>
        <w:t xml:space="preserve"> крапивница, зуд, кожная сыпь, ангионевротический отек (включая отек гортани, голосовой складки, вызывающий обструкцию дыхательных путей, и/или отек лица, губ, глотки и/или языка). </w:t>
      </w:r>
      <w:proofErr w:type="gramEnd"/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системы кроветворения</w:t>
      </w:r>
      <w:r w:rsidRPr="008452C1">
        <w:rPr>
          <w:sz w:val="24"/>
          <w:szCs w:val="24"/>
        </w:rPr>
        <w:t xml:space="preserve">: анемия, тромбоцитопения, </w:t>
      </w:r>
      <w:proofErr w:type="spellStart"/>
      <w:r w:rsidRPr="008452C1">
        <w:rPr>
          <w:sz w:val="24"/>
          <w:szCs w:val="24"/>
        </w:rPr>
        <w:t>эозинофилия</w:t>
      </w:r>
      <w:proofErr w:type="spellEnd"/>
      <w:r w:rsidRPr="008452C1">
        <w:rPr>
          <w:sz w:val="24"/>
          <w:szCs w:val="24"/>
        </w:rPr>
        <w:t xml:space="preserve">, пурпура </w:t>
      </w:r>
      <w:proofErr w:type="spellStart"/>
      <w:r w:rsidRPr="008452C1">
        <w:rPr>
          <w:sz w:val="24"/>
          <w:szCs w:val="24"/>
        </w:rPr>
        <w:t>Шенлейна-Геноха</w:t>
      </w:r>
      <w:proofErr w:type="spellEnd"/>
      <w:r w:rsidRPr="008452C1">
        <w:rPr>
          <w:sz w:val="24"/>
          <w:szCs w:val="24"/>
        </w:rPr>
        <w:t>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proofErr w:type="gramStart"/>
      <w:r w:rsidRPr="008452C1">
        <w:rPr>
          <w:i/>
          <w:sz w:val="24"/>
          <w:szCs w:val="24"/>
        </w:rPr>
        <w:t>Со стороны нервной системы и органов чувств</w:t>
      </w:r>
      <w:r w:rsidRPr="008452C1">
        <w:rPr>
          <w:sz w:val="24"/>
          <w:szCs w:val="24"/>
        </w:rPr>
        <w:t xml:space="preserve">: беспокойство, нарушение сна, сонливость, нарушение памяти, периферическая </w:t>
      </w:r>
      <w:proofErr w:type="spellStart"/>
      <w:r w:rsidRPr="008452C1">
        <w:rPr>
          <w:sz w:val="24"/>
          <w:szCs w:val="24"/>
        </w:rPr>
        <w:t>нейропатия</w:t>
      </w:r>
      <w:proofErr w:type="spellEnd"/>
      <w:r w:rsidRPr="008452C1">
        <w:rPr>
          <w:sz w:val="24"/>
          <w:szCs w:val="24"/>
        </w:rPr>
        <w:t xml:space="preserve">, парестезии, </w:t>
      </w:r>
      <w:proofErr w:type="spellStart"/>
      <w:r w:rsidRPr="008452C1">
        <w:rPr>
          <w:sz w:val="24"/>
          <w:szCs w:val="24"/>
        </w:rPr>
        <w:t>гипостезии</w:t>
      </w:r>
      <w:proofErr w:type="spellEnd"/>
      <w:r w:rsidRPr="008452C1">
        <w:rPr>
          <w:sz w:val="24"/>
          <w:szCs w:val="24"/>
        </w:rPr>
        <w:t>, тремор, атаксия, депрессия, обморок, звон в ушах, нарушение вкуса, нарушение зрения, конъюнктивит, мигрень.</w:t>
      </w:r>
      <w:proofErr w:type="gramEnd"/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опорно-двигательного аппарата</w:t>
      </w:r>
      <w:r w:rsidRPr="008452C1">
        <w:rPr>
          <w:sz w:val="24"/>
          <w:szCs w:val="24"/>
        </w:rPr>
        <w:t xml:space="preserve">: артралгия, артрит, боль в плече и в колене, </w:t>
      </w:r>
      <w:proofErr w:type="spellStart"/>
      <w:r w:rsidRPr="008452C1">
        <w:rPr>
          <w:sz w:val="24"/>
          <w:szCs w:val="24"/>
        </w:rPr>
        <w:t>фибромиалгия</w:t>
      </w:r>
      <w:proofErr w:type="spellEnd"/>
      <w:r w:rsidRPr="008452C1">
        <w:rPr>
          <w:sz w:val="24"/>
          <w:szCs w:val="24"/>
        </w:rPr>
        <w:t>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 стороны мочевыделительной системы</w:t>
      </w:r>
      <w:r w:rsidRPr="008452C1">
        <w:rPr>
          <w:sz w:val="24"/>
          <w:szCs w:val="24"/>
        </w:rPr>
        <w:t>: императивные позывы на мочеиспускание, инфекции мочевыводящих путей, нарушение функции почек.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Со стороны репродуктивной системы</w:t>
      </w:r>
      <w:r w:rsidRPr="007E31B1">
        <w:rPr>
          <w:sz w:val="24"/>
          <w:szCs w:val="24"/>
        </w:rPr>
        <w:t>:</w:t>
      </w:r>
      <w:r w:rsidRPr="008452C1">
        <w:rPr>
          <w:sz w:val="24"/>
          <w:szCs w:val="24"/>
        </w:rPr>
        <w:t xml:space="preserve"> снижение либидо, импотенция.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lastRenderedPageBreak/>
        <w:t>Прочие</w:t>
      </w:r>
      <w:r w:rsidRPr="007E31B1">
        <w:rPr>
          <w:sz w:val="24"/>
          <w:szCs w:val="24"/>
        </w:rPr>
        <w:t>:</w:t>
      </w:r>
      <w:r w:rsidRPr="008452C1">
        <w:rPr>
          <w:sz w:val="24"/>
          <w:szCs w:val="24"/>
        </w:rPr>
        <w:t xml:space="preserve"> обострение течения подагры, носовое кровотечение.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</w:rPr>
      </w:pPr>
      <w:r w:rsidRPr="008452C1">
        <w:rPr>
          <w:sz w:val="24"/>
          <w:szCs w:val="24"/>
          <w:u w:val="single"/>
        </w:rPr>
        <w:t>Со стороны лабораторных показателей:</w:t>
      </w:r>
      <w:r w:rsidRPr="008452C1">
        <w:rPr>
          <w:sz w:val="24"/>
        </w:rPr>
        <w:t xml:space="preserve">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</w:rPr>
        <w:t xml:space="preserve">часто – </w:t>
      </w:r>
      <w:proofErr w:type="spellStart"/>
      <w:r w:rsidRPr="008452C1">
        <w:rPr>
          <w:sz w:val="24"/>
        </w:rPr>
        <w:t>гиперкалиемия</w:t>
      </w:r>
      <w:proofErr w:type="spellEnd"/>
      <w:r w:rsidRPr="008452C1">
        <w:rPr>
          <w:sz w:val="24"/>
        </w:rPr>
        <w:t xml:space="preserve"> </w:t>
      </w:r>
      <w:r w:rsidRPr="008452C1">
        <w:rPr>
          <w:sz w:val="24"/>
          <w:szCs w:val="24"/>
        </w:rPr>
        <w:t xml:space="preserve">(содержание калия более 5,5 </w:t>
      </w:r>
      <w:proofErr w:type="spellStart"/>
      <w:r w:rsidRPr="008452C1">
        <w:rPr>
          <w:sz w:val="24"/>
          <w:szCs w:val="24"/>
        </w:rPr>
        <w:t>ммоль</w:t>
      </w:r>
      <w:proofErr w:type="spellEnd"/>
      <w:r w:rsidRPr="008452C1">
        <w:rPr>
          <w:sz w:val="24"/>
          <w:szCs w:val="24"/>
        </w:rPr>
        <w:t>/л);</w:t>
      </w:r>
    </w:p>
    <w:p w:rsidR="009A1065" w:rsidRPr="009A1065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нечасто </w:t>
      </w:r>
      <w:r w:rsidRPr="008452C1">
        <w:rPr>
          <w:sz w:val="24"/>
          <w:szCs w:val="24"/>
        </w:rPr>
        <w:sym w:font="Symbol" w:char="F02D"/>
      </w:r>
      <w:r w:rsidRPr="008452C1">
        <w:rPr>
          <w:sz w:val="24"/>
          <w:szCs w:val="24"/>
        </w:rPr>
        <w:t xml:space="preserve"> повышение концентрации мочевины, остаточного азота, </w:t>
      </w:r>
      <w:proofErr w:type="spellStart"/>
      <w:r w:rsidRPr="008452C1">
        <w:rPr>
          <w:sz w:val="24"/>
          <w:szCs w:val="24"/>
        </w:rPr>
        <w:t>креатинина</w:t>
      </w:r>
      <w:proofErr w:type="spellEnd"/>
      <w:r w:rsidRPr="008452C1">
        <w:rPr>
          <w:sz w:val="24"/>
          <w:szCs w:val="24"/>
        </w:rPr>
        <w:t xml:space="preserve"> в сыворотке крови;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очень редко </w:t>
      </w:r>
      <w:r w:rsidRPr="008452C1">
        <w:rPr>
          <w:sz w:val="24"/>
          <w:szCs w:val="24"/>
        </w:rPr>
        <w:sym w:font="Symbol" w:char="F02D"/>
      </w:r>
      <w:r w:rsidRPr="008452C1">
        <w:rPr>
          <w:sz w:val="24"/>
          <w:szCs w:val="24"/>
        </w:rPr>
        <w:t xml:space="preserve"> умеренное повышение активности </w:t>
      </w:r>
      <w:proofErr w:type="spellStart"/>
      <w:r w:rsidRPr="008452C1">
        <w:rPr>
          <w:sz w:val="24"/>
          <w:szCs w:val="24"/>
        </w:rPr>
        <w:t>трансаминаз</w:t>
      </w:r>
      <w:proofErr w:type="spellEnd"/>
      <w:r w:rsidRPr="008452C1">
        <w:rPr>
          <w:sz w:val="24"/>
          <w:szCs w:val="24"/>
        </w:rPr>
        <w:t xml:space="preserve"> (</w:t>
      </w:r>
      <w:proofErr w:type="spellStart"/>
      <w:r w:rsidRPr="008452C1">
        <w:rPr>
          <w:sz w:val="24"/>
          <w:szCs w:val="24"/>
        </w:rPr>
        <w:t>аспартат-аминотрансферазы</w:t>
      </w:r>
      <w:proofErr w:type="spellEnd"/>
      <w:r w:rsidRPr="008452C1">
        <w:rPr>
          <w:sz w:val="24"/>
          <w:szCs w:val="24"/>
        </w:rPr>
        <w:t xml:space="preserve">, </w:t>
      </w:r>
      <w:proofErr w:type="spellStart"/>
      <w:r w:rsidRPr="008452C1">
        <w:rPr>
          <w:sz w:val="24"/>
          <w:szCs w:val="24"/>
        </w:rPr>
        <w:t>аланинаминотрансферазы</w:t>
      </w:r>
      <w:proofErr w:type="spellEnd"/>
      <w:r w:rsidRPr="008452C1">
        <w:rPr>
          <w:sz w:val="24"/>
          <w:szCs w:val="24"/>
        </w:rPr>
        <w:t xml:space="preserve">), </w:t>
      </w:r>
      <w:proofErr w:type="spellStart"/>
      <w:r w:rsidRPr="008452C1">
        <w:rPr>
          <w:sz w:val="24"/>
          <w:szCs w:val="24"/>
        </w:rPr>
        <w:t>гипербилирубинемия</w:t>
      </w:r>
      <w:proofErr w:type="spellEnd"/>
      <w:r w:rsidRPr="008452C1">
        <w:rPr>
          <w:sz w:val="24"/>
          <w:szCs w:val="24"/>
        </w:rPr>
        <w:t xml:space="preserve">. </w:t>
      </w:r>
    </w:p>
    <w:p w:rsidR="009A1065" w:rsidRPr="008452C1" w:rsidRDefault="009A1065" w:rsidP="009A1065">
      <w:pPr>
        <w:pStyle w:val="11"/>
        <w:suppressAutoHyphens/>
        <w:jc w:val="both"/>
        <w:rPr>
          <w:b/>
          <w:i/>
          <w:color w:val="auto"/>
        </w:rPr>
      </w:pPr>
      <w:r w:rsidRPr="008452C1">
        <w:rPr>
          <w:b/>
          <w:i/>
          <w:color w:val="auto"/>
        </w:rPr>
        <w:t>Внимание! Если любые из указанных в инструкции побочных эффектов усугубляются или Вы заметили любые другие побочные эффекты, не указанные в инструкции, сообщите об этом врачу.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9A1065" w:rsidRPr="008452C1" w:rsidRDefault="009A1065" w:rsidP="009A1065">
      <w:pPr>
        <w:pStyle w:val="21"/>
        <w:suppressAutoHyphens/>
        <w:rPr>
          <w:b/>
          <w:szCs w:val="24"/>
        </w:rPr>
      </w:pPr>
      <w:r w:rsidRPr="008452C1">
        <w:rPr>
          <w:b/>
          <w:szCs w:val="24"/>
        </w:rPr>
        <w:t>Передозировка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Сведения о передозировке препарата ограничены.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Наиболее вероятные симптомы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>Выраженное снижение АД и тахикардия; брадикардия может возникнуть вследствие парасимпатической (</w:t>
      </w:r>
      <w:proofErr w:type="spellStart"/>
      <w:r w:rsidRPr="008452C1">
        <w:rPr>
          <w:sz w:val="24"/>
          <w:szCs w:val="24"/>
        </w:rPr>
        <w:t>вагусной</w:t>
      </w:r>
      <w:proofErr w:type="spellEnd"/>
      <w:r w:rsidRPr="008452C1">
        <w:rPr>
          <w:sz w:val="24"/>
          <w:szCs w:val="24"/>
        </w:rPr>
        <w:t xml:space="preserve">) стимуляции.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i/>
          <w:sz w:val="24"/>
          <w:szCs w:val="24"/>
        </w:rPr>
      </w:pPr>
      <w:r w:rsidRPr="008452C1">
        <w:rPr>
          <w:i/>
          <w:sz w:val="24"/>
          <w:szCs w:val="24"/>
        </w:rPr>
        <w:t>Лечение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>Форсированный диурез, симптоматическая терапия.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Ни </w:t>
      </w:r>
      <w:proofErr w:type="spellStart"/>
      <w:r w:rsidRPr="008452C1">
        <w:rPr>
          <w:sz w:val="24"/>
          <w:szCs w:val="24"/>
        </w:rPr>
        <w:t>лозартан</w:t>
      </w:r>
      <w:proofErr w:type="spellEnd"/>
      <w:r w:rsidRPr="008452C1">
        <w:rPr>
          <w:sz w:val="24"/>
          <w:szCs w:val="24"/>
        </w:rPr>
        <w:t>, ни его активный метаболит не выводятся из организма с помощью гемодиализа.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9A1065" w:rsidRPr="008452C1" w:rsidRDefault="009A1065" w:rsidP="009A1065">
      <w:pPr>
        <w:suppressAutoHyphens/>
        <w:jc w:val="both"/>
        <w:rPr>
          <w:b/>
          <w:sz w:val="24"/>
          <w:szCs w:val="24"/>
        </w:rPr>
      </w:pPr>
      <w:r w:rsidRPr="008452C1">
        <w:rPr>
          <w:b/>
          <w:sz w:val="24"/>
          <w:szCs w:val="24"/>
        </w:rPr>
        <w:t>Взаимодействие с другими лекарственными средствами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8452C1">
        <w:rPr>
          <w:color w:val="000000"/>
          <w:sz w:val="24"/>
          <w:szCs w:val="24"/>
        </w:rPr>
        <w:t>Может назначаться с другими гипотензивными средствами.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8452C1">
        <w:rPr>
          <w:color w:val="000000"/>
          <w:sz w:val="24"/>
          <w:szCs w:val="24"/>
        </w:rPr>
        <w:t xml:space="preserve">Клинически значимого взаимодействия </w:t>
      </w:r>
      <w:proofErr w:type="spellStart"/>
      <w:r w:rsidRPr="008452C1">
        <w:rPr>
          <w:color w:val="000000"/>
          <w:sz w:val="24"/>
          <w:szCs w:val="24"/>
        </w:rPr>
        <w:t>лозартана</w:t>
      </w:r>
      <w:proofErr w:type="spellEnd"/>
      <w:r w:rsidRPr="008452C1">
        <w:rPr>
          <w:color w:val="000000"/>
          <w:sz w:val="24"/>
          <w:szCs w:val="24"/>
        </w:rPr>
        <w:t xml:space="preserve"> с таким лекарственными средствами, как </w:t>
      </w:r>
      <w:proofErr w:type="spellStart"/>
      <w:r w:rsidRPr="008452C1">
        <w:rPr>
          <w:color w:val="000000"/>
          <w:sz w:val="24"/>
          <w:szCs w:val="24"/>
        </w:rPr>
        <w:t>гидрохлоротиазид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дигоксин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варфарин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циметидин</w:t>
      </w:r>
      <w:proofErr w:type="spellEnd"/>
      <w:r w:rsidRPr="008452C1">
        <w:rPr>
          <w:color w:val="000000"/>
          <w:sz w:val="24"/>
          <w:szCs w:val="24"/>
        </w:rPr>
        <w:t xml:space="preserve"> и </w:t>
      </w:r>
      <w:proofErr w:type="spellStart"/>
      <w:r w:rsidRPr="008452C1">
        <w:rPr>
          <w:color w:val="000000"/>
          <w:sz w:val="24"/>
          <w:szCs w:val="24"/>
        </w:rPr>
        <w:t>фенобарбитал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кетоконазол</w:t>
      </w:r>
      <w:proofErr w:type="spellEnd"/>
      <w:r w:rsidRPr="008452C1">
        <w:rPr>
          <w:color w:val="000000"/>
          <w:sz w:val="24"/>
          <w:szCs w:val="24"/>
        </w:rPr>
        <w:t xml:space="preserve"> и эритромицин не отмечено.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proofErr w:type="spellStart"/>
      <w:r w:rsidRPr="008452C1">
        <w:rPr>
          <w:color w:val="000000"/>
          <w:sz w:val="24"/>
          <w:szCs w:val="24"/>
        </w:rPr>
        <w:t>Рифампицин</w:t>
      </w:r>
      <w:proofErr w:type="spellEnd"/>
      <w:r w:rsidRPr="008452C1">
        <w:rPr>
          <w:color w:val="000000"/>
          <w:sz w:val="24"/>
          <w:szCs w:val="24"/>
        </w:rPr>
        <w:t xml:space="preserve"> и </w:t>
      </w:r>
      <w:proofErr w:type="spellStart"/>
      <w:r w:rsidRPr="008452C1">
        <w:rPr>
          <w:color w:val="000000"/>
          <w:sz w:val="24"/>
          <w:szCs w:val="24"/>
        </w:rPr>
        <w:t>флуконазол</w:t>
      </w:r>
      <w:proofErr w:type="spellEnd"/>
      <w:r w:rsidRPr="008452C1">
        <w:rPr>
          <w:color w:val="000000"/>
          <w:sz w:val="24"/>
          <w:szCs w:val="24"/>
        </w:rPr>
        <w:t xml:space="preserve"> уменьшают уровень активного метаболита. Клиническое значение данных взаимодействий не установлено.</w:t>
      </w:r>
    </w:p>
    <w:p w:rsidR="009A1065" w:rsidRPr="0000619A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8452C1">
        <w:rPr>
          <w:color w:val="000000"/>
          <w:sz w:val="24"/>
          <w:szCs w:val="24"/>
        </w:rPr>
        <w:t xml:space="preserve">Как и при применении других средств, блокирующих образование </w:t>
      </w:r>
      <w:proofErr w:type="spellStart"/>
      <w:r w:rsidRPr="008452C1">
        <w:rPr>
          <w:color w:val="000000"/>
          <w:sz w:val="24"/>
          <w:szCs w:val="24"/>
        </w:rPr>
        <w:t>ангиотензина</w:t>
      </w:r>
      <w:proofErr w:type="spellEnd"/>
      <w:r w:rsidRPr="008452C1">
        <w:rPr>
          <w:color w:val="000000"/>
          <w:sz w:val="24"/>
          <w:szCs w:val="24"/>
        </w:rPr>
        <w:t xml:space="preserve"> II и его эффекты, одновременное применение калийсберегающих диуретиков (например, </w:t>
      </w:r>
      <w:proofErr w:type="spellStart"/>
      <w:r w:rsidRPr="008452C1">
        <w:rPr>
          <w:color w:val="000000"/>
          <w:sz w:val="24"/>
          <w:szCs w:val="24"/>
        </w:rPr>
        <w:t>спиронолактона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триамтерена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амилорида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 w:rsidRPr="0000619A">
        <w:rPr>
          <w:color w:val="000000"/>
          <w:sz w:val="24"/>
          <w:szCs w:val="24"/>
        </w:rPr>
        <w:t>эплеренона</w:t>
      </w:r>
      <w:proofErr w:type="spellEnd"/>
      <w:r w:rsidRPr="0000619A">
        <w:rPr>
          <w:color w:val="000000"/>
          <w:sz w:val="24"/>
          <w:szCs w:val="24"/>
        </w:rPr>
        <w:t>) или средств, повышающих содержание калия (например, гепарина), калиевых добавок и солей, содержащих калий, может привести к повышению содержания калия в сыворотке крови.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00619A">
        <w:rPr>
          <w:color w:val="000000"/>
          <w:sz w:val="24"/>
          <w:szCs w:val="24"/>
        </w:rPr>
        <w:t>Как и при применении других средств, влияющих</w:t>
      </w:r>
      <w:r w:rsidRPr="008452C1">
        <w:rPr>
          <w:color w:val="000000"/>
          <w:sz w:val="24"/>
          <w:szCs w:val="24"/>
        </w:rPr>
        <w:t xml:space="preserve"> на выведение натрия, лечение </w:t>
      </w:r>
      <w:proofErr w:type="spellStart"/>
      <w:r w:rsidRPr="008452C1">
        <w:rPr>
          <w:color w:val="000000"/>
          <w:sz w:val="24"/>
          <w:szCs w:val="24"/>
        </w:rPr>
        <w:t>лозартаном</w:t>
      </w:r>
      <w:proofErr w:type="spellEnd"/>
      <w:r w:rsidRPr="008452C1">
        <w:rPr>
          <w:color w:val="000000"/>
          <w:sz w:val="24"/>
          <w:szCs w:val="24"/>
        </w:rPr>
        <w:t xml:space="preserve"> может сопровождаться снижением экскреции натрия и повышением сывороточной концентрации лития, поэтому при одновременном лечении с препаратами лития следует контролировать его сывороточную концентрацию.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8452C1">
        <w:rPr>
          <w:color w:val="000000"/>
          <w:sz w:val="24"/>
          <w:szCs w:val="24"/>
        </w:rPr>
        <w:t xml:space="preserve">Нестероидные противовоспалительные препараты (НПВП), включая селективные ингибиторы циклооксигеназы-2 (ЦОГ-2), могут снижать эффект диуретиков и других гипотензивных средств. Поэтому </w:t>
      </w:r>
      <w:proofErr w:type="spellStart"/>
      <w:r w:rsidRPr="008452C1">
        <w:rPr>
          <w:color w:val="000000"/>
          <w:sz w:val="24"/>
          <w:szCs w:val="24"/>
        </w:rPr>
        <w:t>антигипертензивный</w:t>
      </w:r>
      <w:proofErr w:type="spellEnd"/>
      <w:r w:rsidRPr="008452C1">
        <w:rPr>
          <w:color w:val="000000"/>
          <w:sz w:val="24"/>
          <w:szCs w:val="24"/>
        </w:rPr>
        <w:t xml:space="preserve"> эффект </w:t>
      </w:r>
      <w:r w:rsidRPr="008452C1">
        <w:rPr>
          <w:sz w:val="24"/>
          <w:szCs w:val="24"/>
        </w:rPr>
        <w:t xml:space="preserve">антагонистов рецепторов к </w:t>
      </w:r>
      <w:proofErr w:type="spellStart"/>
      <w:r w:rsidRPr="008452C1">
        <w:rPr>
          <w:sz w:val="24"/>
          <w:szCs w:val="24"/>
        </w:rPr>
        <w:t>ангиотензину</w:t>
      </w:r>
      <w:proofErr w:type="spellEnd"/>
      <w:r w:rsidRPr="008452C1">
        <w:rPr>
          <w:sz w:val="24"/>
          <w:szCs w:val="24"/>
        </w:rPr>
        <w:t xml:space="preserve"> </w:t>
      </w:r>
      <w:r w:rsidRPr="008452C1">
        <w:rPr>
          <w:sz w:val="24"/>
          <w:szCs w:val="24"/>
          <w:lang w:val="en-US"/>
        </w:rPr>
        <w:t>II</w:t>
      </w:r>
      <w:r w:rsidRPr="008452C1">
        <w:rPr>
          <w:sz w:val="24"/>
          <w:szCs w:val="24"/>
        </w:rPr>
        <w:t xml:space="preserve"> </w:t>
      </w:r>
      <w:r w:rsidRPr="008452C1">
        <w:rPr>
          <w:color w:val="000000"/>
          <w:sz w:val="24"/>
          <w:szCs w:val="24"/>
        </w:rPr>
        <w:t>или ингибиторов АПФ может быть ослаблен при одновременном применении c НПВП, в т. ч. с селективными ингибиторами ЦОГ-2.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color w:val="000000"/>
          <w:sz w:val="24"/>
          <w:szCs w:val="24"/>
        </w:rPr>
        <w:t xml:space="preserve">У некоторых пациентов с нарушением функции почек, которые получали лечение НПВП, одновременное назначение антагонистов </w:t>
      </w:r>
      <w:proofErr w:type="spellStart"/>
      <w:r w:rsidRPr="008452C1">
        <w:rPr>
          <w:color w:val="000000"/>
          <w:sz w:val="24"/>
          <w:szCs w:val="24"/>
        </w:rPr>
        <w:t>ангиотензина</w:t>
      </w:r>
      <w:proofErr w:type="spellEnd"/>
      <w:r w:rsidRPr="008452C1">
        <w:rPr>
          <w:color w:val="000000"/>
          <w:sz w:val="24"/>
          <w:szCs w:val="24"/>
        </w:rPr>
        <w:t xml:space="preserve"> II может вызвать дальнейшее ухудшение функции почек. Обычно данный эффект обратим.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  <w:r w:rsidRPr="008452C1">
        <w:rPr>
          <w:color w:val="000000"/>
          <w:sz w:val="24"/>
          <w:szCs w:val="24"/>
        </w:rPr>
        <w:t xml:space="preserve">Другие гипотензивные средства могут увеличивать выраженность </w:t>
      </w:r>
      <w:proofErr w:type="spellStart"/>
      <w:r w:rsidRPr="008452C1">
        <w:rPr>
          <w:color w:val="000000"/>
          <w:sz w:val="24"/>
          <w:szCs w:val="24"/>
        </w:rPr>
        <w:t>антигипертензивного</w:t>
      </w:r>
      <w:proofErr w:type="spellEnd"/>
      <w:r w:rsidRPr="008452C1">
        <w:rPr>
          <w:color w:val="000000"/>
          <w:sz w:val="24"/>
          <w:szCs w:val="24"/>
        </w:rPr>
        <w:t xml:space="preserve"> действия </w:t>
      </w:r>
      <w:proofErr w:type="spellStart"/>
      <w:r w:rsidRPr="008452C1">
        <w:rPr>
          <w:color w:val="000000"/>
          <w:sz w:val="24"/>
          <w:szCs w:val="24"/>
        </w:rPr>
        <w:t>лозартана</w:t>
      </w:r>
      <w:proofErr w:type="spellEnd"/>
      <w:r w:rsidRPr="008452C1">
        <w:rPr>
          <w:color w:val="000000"/>
          <w:sz w:val="24"/>
          <w:szCs w:val="24"/>
        </w:rPr>
        <w:t xml:space="preserve">. Одновременное применение препаратов (например, трициклических антидепрессантов, нейролептиков, </w:t>
      </w:r>
      <w:proofErr w:type="spellStart"/>
      <w:r w:rsidRPr="008452C1">
        <w:rPr>
          <w:color w:val="000000"/>
          <w:sz w:val="24"/>
          <w:szCs w:val="24"/>
        </w:rPr>
        <w:t>баклофена</w:t>
      </w:r>
      <w:proofErr w:type="spellEnd"/>
      <w:r w:rsidRPr="008452C1">
        <w:rPr>
          <w:color w:val="000000"/>
          <w:sz w:val="24"/>
          <w:szCs w:val="24"/>
        </w:rPr>
        <w:t xml:space="preserve">, </w:t>
      </w:r>
      <w:proofErr w:type="spellStart"/>
      <w:r w:rsidRPr="008452C1">
        <w:rPr>
          <w:color w:val="000000"/>
          <w:sz w:val="24"/>
          <w:szCs w:val="24"/>
        </w:rPr>
        <w:t>амифостина</w:t>
      </w:r>
      <w:proofErr w:type="spellEnd"/>
      <w:r w:rsidRPr="008452C1">
        <w:rPr>
          <w:color w:val="000000"/>
          <w:sz w:val="24"/>
          <w:szCs w:val="24"/>
        </w:rPr>
        <w:t>), которые снижают артериальное давление в качестве основного или побочного эффекта, может повышать риск развития артериальной гипотензии.</w:t>
      </w:r>
      <w:r w:rsidRPr="008452C1">
        <w:rPr>
          <w:sz w:val="24"/>
          <w:szCs w:val="24"/>
        </w:rPr>
        <w:t> 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8452C1">
        <w:rPr>
          <w:color w:val="000000"/>
          <w:sz w:val="24"/>
          <w:szCs w:val="24"/>
        </w:rPr>
        <w:t xml:space="preserve">Двойная блокада РААС с применением антагонистов рецепторов к </w:t>
      </w:r>
      <w:proofErr w:type="spellStart"/>
      <w:r w:rsidRPr="008452C1">
        <w:rPr>
          <w:color w:val="000000"/>
          <w:sz w:val="24"/>
          <w:szCs w:val="24"/>
        </w:rPr>
        <w:t>ангиотензину</w:t>
      </w:r>
      <w:proofErr w:type="spellEnd"/>
      <w:r w:rsidRPr="008452C1">
        <w:rPr>
          <w:color w:val="000000"/>
          <w:sz w:val="24"/>
          <w:szCs w:val="24"/>
        </w:rPr>
        <w:t xml:space="preserve"> II, ингибиторов АПФ или </w:t>
      </w:r>
      <w:proofErr w:type="spellStart"/>
      <w:r w:rsidRPr="008452C1">
        <w:rPr>
          <w:color w:val="000000"/>
          <w:sz w:val="24"/>
          <w:szCs w:val="24"/>
        </w:rPr>
        <w:t>алискирена</w:t>
      </w:r>
      <w:proofErr w:type="spellEnd"/>
      <w:r w:rsidRPr="008452C1">
        <w:rPr>
          <w:color w:val="000000"/>
          <w:sz w:val="24"/>
          <w:szCs w:val="24"/>
        </w:rPr>
        <w:t xml:space="preserve"> ассоциирована с повышенным риском развития </w:t>
      </w:r>
      <w:r w:rsidRPr="008452C1">
        <w:rPr>
          <w:color w:val="000000"/>
          <w:sz w:val="24"/>
          <w:szCs w:val="24"/>
        </w:rPr>
        <w:lastRenderedPageBreak/>
        <w:t xml:space="preserve">артериальной гипотензии, синкопе, </w:t>
      </w:r>
      <w:proofErr w:type="spellStart"/>
      <w:r w:rsidRPr="008452C1">
        <w:rPr>
          <w:color w:val="000000"/>
          <w:sz w:val="24"/>
          <w:szCs w:val="24"/>
        </w:rPr>
        <w:t>гиперкалиемии</w:t>
      </w:r>
      <w:proofErr w:type="spellEnd"/>
      <w:r w:rsidRPr="008452C1">
        <w:rPr>
          <w:color w:val="000000"/>
          <w:sz w:val="24"/>
          <w:szCs w:val="24"/>
        </w:rPr>
        <w:t xml:space="preserve"> и нарушения функции почек (включая острую почечную недостаточность) по сравнению с </w:t>
      </w:r>
      <w:proofErr w:type="spellStart"/>
      <w:r w:rsidRPr="008452C1">
        <w:rPr>
          <w:color w:val="000000"/>
          <w:sz w:val="24"/>
          <w:szCs w:val="24"/>
        </w:rPr>
        <w:t>монотерапией</w:t>
      </w:r>
      <w:proofErr w:type="spellEnd"/>
      <w:r w:rsidRPr="008452C1">
        <w:rPr>
          <w:color w:val="000000"/>
          <w:sz w:val="24"/>
          <w:szCs w:val="24"/>
        </w:rPr>
        <w:t xml:space="preserve">. Необходимо тщательно контролировать артериальное давление, функцию почек и </w:t>
      </w:r>
      <w:r w:rsidRPr="0000619A">
        <w:rPr>
          <w:color w:val="000000"/>
          <w:sz w:val="24"/>
          <w:szCs w:val="24"/>
        </w:rPr>
        <w:t xml:space="preserve">водно-электролитный баланс у пациентов, принимающих </w:t>
      </w:r>
      <w:proofErr w:type="spellStart"/>
      <w:r w:rsidRPr="0000619A">
        <w:rPr>
          <w:color w:val="000000"/>
          <w:sz w:val="24"/>
          <w:szCs w:val="24"/>
        </w:rPr>
        <w:t>лозартан</w:t>
      </w:r>
      <w:proofErr w:type="spellEnd"/>
      <w:r w:rsidRPr="0000619A">
        <w:rPr>
          <w:color w:val="000000"/>
          <w:sz w:val="24"/>
          <w:szCs w:val="24"/>
        </w:rPr>
        <w:t xml:space="preserve"> и другие лекарст</w:t>
      </w:r>
      <w:r w:rsidRPr="008452C1">
        <w:rPr>
          <w:color w:val="000000"/>
          <w:sz w:val="24"/>
          <w:szCs w:val="24"/>
        </w:rPr>
        <w:t xml:space="preserve">венные препараты, влияющие на РААС. </w:t>
      </w:r>
      <w:proofErr w:type="spellStart"/>
      <w:r w:rsidRPr="008452C1">
        <w:rPr>
          <w:color w:val="000000"/>
          <w:sz w:val="24"/>
          <w:szCs w:val="24"/>
        </w:rPr>
        <w:t>Лозартан</w:t>
      </w:r>
      <w:proofErr w:type="spellEnd"/>
      <w:r w:rsidRPr="008452C1">
        <w:rPr>
          <w:color w:val="000000"/>
          <w:sz w:val="24"/>
          <w:szCs w:val="24"/>
        </w:rPr>
        <w:t xml:space="preserve"> не рекомендуется применять одновременно с </w:t>
      </w:r>
      <w:proofErr w:type="spellStart"/>
      <w:r w:rsidRPr="008452C1">
        <w:rPr>
          <w:color w:val="000000"/>
          <w:sz w:val="24"/>
          <w:szCs w:val="24"/>
        </w:rPr>
        <w:t>алискиреном</w:t>
      </w:r>
      <w:proofErr w:type="spellEnd"/>
      <w:r w:rsidRPr="008452C1">
        <w:rPr>
          <w:color w:val="000000"/>
          <w:sz w:val="24"/>
          <w:szCs w:val="24"/>
        </w:rPr>
        <w:t xml:space="preserve"> у пациентов с сахарным диабетом. Следует избегать одновременного применения препарата </w:t>
      </w:r>
      <w:proofErr w:type="spellStart"/>
      <w:r w:rsidRPr="008452C1">
        <w:rPr>
          <w:color w:val="000000"/>
          <w:sz w:val="24"/>
          <w:szCs w:val="24"/>
        </w:rPr>
        <w:t>Лозартан</w:t>
      </w:r>
      <w:proofErr w:type="spellEnd"/>
      <w:r w:rsidRPr="008452C1">
        <w:rPr>
          <w:color w:val="000000"/>
          <w:sz w:val="24"/>
          <w:szCs w:val="24"/>
        </w:rPr>
        <w:t xml:space="preserve"> и </w:t>
      </w:r>
      <w:proofErr w:type="spellStart"/>
      <w:r w:rsidRPr="008452C1">
        <w:rPr>
          <w:color w:val="000000"/>
          <w:sz w:val="24"/>
          <w:szCs w:val="24"/>
        </w:rPr>
        <w:t>алискирена</w:t>
      </w:r>
      <w:proofErr w:type="spellEnd"/>
      <w:r w:rsidRPr="008452C1">
        <w:rPr>
          <w:color w:val="000000"/>
          <w:sz w:val="24"/>
          <w:szCs w:val="24"/>
        </w:rPr>
        <w:t xml:space="preserve"> у пациентов с почечной недостаточностью (скорость клубочковой фильтрации менее 60 мл/мин).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  <w:r w:rsidRPr="008452C1">
        <w:rPr>
          <w:color w:val="000000"/>
          <w:sz w:val="24"/>
          <w:szCs w:val="24"/>
        </w:rPr>
        <w:t>При одновременном применении с </w:t>
      </w:r>
      <w:proofErr w:type="spellStart"/>
      <w:r w:rsidRPr="008452C1">
        <w:rPr>
          <w:color w:val="000000"/>
          <w:sz w:val="24"/>
          <w:szCs w:val="24"/>
        </w:rPr>
        <w:t>флувастатином</w:t>
      </w:r>
      <w:proofErr w:type="spellEnd"/>
      <w:r w:rsidRPr="008452C1">
        <w:rPr>
          <w:color w:val="000000"/>
          <w:sz w:val="24"/>
          <w:szCs w:val="24"/>
        </w:rPr>
        <w:t xml:space="preserve"> (слабым ингибитором изофермента CYP 2C9) различие воздействия выявлено не было.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b/>
          <w:i/>
          <w:color w:val="000000"/>
          <w:sz w:val="24"/>
          <w:szCs w:val="24"/>
        </w:rPr>
      </w:pPr>
      <w:r w:rsidRPr="008452C1">
        <w:rPr>
          <w:b/>
          <w:i/>
          <w:color w:val="000000"/>
          <w:sz w:val="24"/>
          <w:szCs w:val="24"/>
        </w:rPr>
        <w:t>В случае</w:t>
      </w:r>
      <w:proofErr w:type="gramStart"/>
      <w:r w:rsidRPr="008452C1">
        <w:rPr>
          <w:b/>
          <w:i/>
          <w:color w:val="000000"/>
          <w:sz w:val="24"/>
          <w:szCs w:val="24"/>
        </w:rPr>
        <w:t>,</w:t>
      </w:r>
      <w:proofErr w:type="gramEnd"/>
      <w:r w:rsidRPr="008452C1">
        <w:rPr>
          <w:b/>
          <w:i/>
          <w:color w:val="000000"/>
          <w:sz w:val="24"/>
          <w:szCs w:val="24"/>
        </w:rPr>
        <w:t xml:space="preserve"> если Вам назначен </w:t>
      </w:r>
      <w:proofErr w:type="spellStart"/>
      <w:r w:rsidRPr="008452C1">
        <w:rPr>
          <w:b/>
          <w:i/>
          <w:color w:val="000000"/>
          <w:sz w:val="24"/>
          <w:szCs w:val="24"/>
        </w:rPr>
        <w:t>лозартан</w:t>
      </w:r>
      <w:proofErr w:type="spellEnd"/>
      <w:r w:rsidRPr="008452C1">
        <w:rPr>
          <w:b/>
          <w:i/>
          <w:color w:val="000000"/>
          <w:sz w:val="24"/>
          <w:szCs w:val="24"/>
        </w:rPr>
        <w:t>, а Вы принимаете другие препараты, проконсультируйтесь об этом с врачом.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color w:val="000000"/>
          <w:sz w:val="24"/>
          <w:szCs w:val="24"/>
        </w:rPr>
      </w:pPr>
    </w:p>
    <w:p w:rsidR="009A1065" w:rsidRPr="008452C1" w:rsidRDefault="009A1065" w:rsidP="009A1065">
      <w:pPr>
        <w:shd w:val="clear" w:color="auto" w:fill="FFFFFF"/>
        <w:suppressAutoHyphens/>
        <w:rPr>
          <w:sz w:val="24"/>
          <w:szCs w:val="24"/>
        </w:rPr>
      </w:pPr>
      <w:r w:rsidRPr="008452C1">
        <w:rPr>
          <w:b/>
          <w:sz w:val="24"/>
          <w:szCs w:val="24"/>
        </w:rPr>
        <w:t>Особые указания</w:t>
      </w:r>
      <w:r w:rsidRPr="008452C1">
        <w:rPr>
          <w:sz w:val="24"/>
          <w:szCs w:val="24"/>
        </w:rPr>
        <w:t xml:space="preserve"> 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 xml:space="preserve">Аллергические реакции. </w:t>
      </w:r>
      <w:r w:rsidRPr="008452C1">
        <w:rPr>
          <w:iCs/>
          <w:sz w:val="24"/>
          <w:szCs w:val="24"/>
        </w:rPr>
        <w:t>У</w:t>
      </w:r>
      <w:r w:rsidRPr="008452C1">
        <w:rPr>
          <w:sz w:val="24"/>
          <w:szCs w:val="24"/>
        </w:rPr>
        <w:t xml:space="preserve"> пациентов, принимавших </w:t>
      </w:r>
      <w:proofErr w:type="spellStart"/>
      <w:r w:rsidRPr="008452C1">
        <w:rPr>
          <w:sz w:val="24"/>
          <w:szCs w:val="24"/>
        </w:rPr>
        <w:t>лозартан</w:t>
      </w:r>
      <w:proofErr w:type="spellEnd"/>
      <w:r w:rsidRPr="008452C1">
        <w:rPr>
          <w:sz w:val="24"/>
          <w:szCs w:val="24"/>
        </w:rPr>
        <w:t>, редко наблюдались анафилактические реакции, ангионевротический отек с вовлечением гортани и глотки, вызывающие обструкцию дыхательных путей и/или отек лица, губ, глотки и/или языка. У некоторых из этих пациентов в анамнезе имелись указания на перенесенный ангионевротический отек при приеме других лекарственных препаратов, включая ингибиторы АПФ. Поэтому при назначении препарата пациентам с ангионевротическим отеком в анамнезе следует соблюдать особую осторожность.</w:t>
      </w:r>
    </w:p>
    <w:p w:rsidR="009A1065" w:rsidRPr="0000619A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>Артериальная гипотензия и нарушение водно-электролитного баланса или снижение ОЦК.</w:t>
      </w:r>
      <w:r w:rsidRPr="008452C1">
        <w:rPr>
          <w:sz w:val="24"/>
          <w:szCs w:val="24"/>
        </w:rPr>
        <w:t xml:space="preserve"> У пациентов со </w:t>
      </w:r>
      <w:proofErr w:type="gramStart"/>
      <w:r w:rsidRPr="008452C1">
        <w:rPr>
          <w:sz w:val="24"/>
          <w:szCs w:val="24"/>
        </w:rPr>
        <w:t>сниженным</w:t>
      </w:r>
      <w:proofErr w:type="gramEnd"/>
      <w:r w:rsidRPr="008452C1">
        <w:rPr>
          <w:sz w:val="24"/>
          <w:szCs w:val="24"/>
        </w:rPr>
        <w:t xml:space="preserve"> ОЦК (например, получающих лечение диуретиками в высоких дозах) может возникать симптоматическая артериальная гипотензия. Коррекцию таких состояний необходимо проводить до назначения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или начинать лечение с применения препарата в более низкой дозе (см. </w:t>
      </w:r>
      <w:r w:rsidRPr="0000619A">
        <w:rPr>
          <w:sz w:val="24"/>
          <w:szCs w:val="24"/>
        </w:rPr>
        <w:t>раздел «Способ применения и дозы»).</w:t>
      </w:r>
    </w:p>
    <w:p w:rsidR="009A1065" w:rsidRPr="0000619A" w:rsidRDefault="009A1065" w:rsidP="009A1065">
      <w:pPr>
        <w:suppressAutoHyphens/>
        <w:jc w:val="both"/>
        <w:rPr>
          <w:sz w:val="24"/>
          <w:szCs w:val="24"/>
        </w:rPr>
      </w:pPr>
      <w:r w:rsidRPr="0000619A">
        <w:rPr>
          <w:sz w:val="24"/>
          <w:szCs w:val="24"/>
        </w:rPr>
        <w:t xml:space="preserve">Нарушение водно-электролитного баланса является характерным для пациентов с почечной недостаточностью с сахарным диабетом 2 типа или без сахарного диабета, поэтому при назначении препарата этой категории пациентов следует соблюдать особую осторожность в связи с риском развития </w:t>
      </w:r>
      <w:proofErr w:type="spellStart"/>
      <w:r w:rsidRPr="0000619A">
        <w:rPr>
          <w:sz w:val="24"/>
          <w:szCs w:val="24"/>
        </w:rPr>
        <w:t>гиперкалиемии</w:t>
      </w:r>
      <w:proofErr w:type="spellEnd"/>
      <w:r w:rsidRPr="0000619A">
        <w:rPr>
          <w:sz w:val="24"/>
          <w:szCs w:val="24"/>
        </w:rPr>
        <w:t xml:space="preserve"> (см. раздел «Побочное действие», подраздел «Со стороны лабораторных показателей»).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00619A">
        <w:rPr>
          <w:sz w:val="24"/>
          <w:szCs w:val="24"/>
        </w:rPr>
        <w:t>В период лечения следует регулярно контролировать содержание</w:t>
      </w:r>
      <w:r w:rsidRPr="008452C1">
        <w:rPr>
          <w:sz w:val="24"/>
          <w:szCs w:val="24"/>
        </w:rPr>
        <w:t xml:space="preserve"> калия в крови, особенно у пациентов пожилого возраста, при нарушениях функции почек. Во время лечения </w:t>
      </w:r>
      <w:proofErr w:type="spellStart"/>
      <w:r w:rsidRPr="008452C1">
        <w:rPr>
          <w:sz w:val="24"/>
          <w:szCs w:val="24"/>
        </w:rPr>
        <w:t>лозартаном</w:t>
      </w:r>
      <w:proofErr w:type="spellEnd"/>
      <w:r w:rsidRPr="008452C1">
        <w:rPr>
          <w:sz w:val="24"/>
          <w:szCs w:val="24"/>
        </w:rPr>
        <w:t xml:space="preserve"> пациенты не должны принимать препараты калия или заменители соли, содержащие калий, без предварительного согласования с врачом.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proofErr w:type="gramStart"/>
      <w:r w:rsidRPr="008452C1">
        <w:rPr>
          <w:i/>
          <w:iCs/>
          <w:sz w:val="24"/>
          <w:szCs w:val="24"/>
        </w:rPr>
        <w:t>Аортальный</w:t>
      </w:r>
      <w:proofErr w:type="gramEnd"/>
      <w:r w:rsidRPr="008452C1">
        <w:rPr>
          <w:i/>
          <w:iCs/>
          <w:sz w:val="24"/>
          <w:szCs w:val="24"/>
        </w:rPr>
        <w:t xml:space="preserve"> или митральный стенозы, </w:t>
      </w:r>
      <w:proofErr w:type="spellStart"/>
      <w:r w:rsidRPr="008452C1">
        <w:rPr>
          <w:i/>
          <w:iCs/>
          <w:sz w:val="24"/>
          <w:szCs w:val="24"/>
        </w:rPr>
        <w:t>обструктивная</w:t>
      </w:r>
      <w:proofErr w:type="spellEnd"/>
      <w:r w:rsidRPr="008452C1">
        <w:rPr>
          <w:i/>
          <w:iCs/>
          <w:sz w:val="24"/>
          <w:szCs w:val="24"/>
        </w:rPr>
        <w:t xml:space="preserve"> гипертрофическая </w:t>
      </w:r>
      <w:proofErr w:type="spellStart"/>
      <w:r w:rsidRPr="008452C1">
        <w:rPr>
          <w:i/>
          <w:iCs/>
          <w:sz w:val="24"/>
          <w:szCs w:val="24"/>
        </w:rPr>
        <w:t>кардиомиопатия</w:t>
      </w:r>
      <w:proofErr w:type="spellEnd"/>
      <w:r w:rsidRPr="008452C1">
        <w:rPr>
          <w:i/>
          <w:iCs/>
          <w:sz w:val="24"/>
          <w:szCs w:val="24"/>
        </w:rPr>
        <w:t>.</w:t>
      </w:r>
      <w:r w:rsidRPr="008452C1">
        <w:rPr>
          <w:sz w:val="24"/>
          <w:szCs w:val="24"/>
        </w:rPr>
        <w:t xml:space="preserve"> </w:t>
      </w:r>
      <w:proofErr w:type="gramStart"/>
      <w:r w:rsidRPr="008452C1">
        <w:rPr>
          <w:sz w:val="24"/>
          <w:szCs w:val="24"/>
        </w:rPr>
        <w:t xml:space="preserve">Как и все препараты, обладающие </w:t>
      </w:r>
      <w:proofErr w:type="spellStart"/>
      <w:r w:rsidRPr="008452C1">
        <w:rPr>
          <w:sz w:val="24"/>
          <w:szCs w:val="24"/>
        </w:rPr>
        <w:t>вазодилатирующим</w:t>
      </w:r>
      <w:proofErr w:type="spellEnd"/>
      <w:r w:rsidRPr="008452C1">
        <w:rPr>
          <w:sz w:val="24"/>
          <w:szCs w:val="24"/>
        </w:rPr>
        <w:t xml:space="preserve"> действием, антагонисты рецепторов к </w:t>
      </w:r>
      <w:proofErr w:type="spellStart"/>
      <w:r w:rsidRPr="008452C1">
        <w:rPr>
          <w:sz w:val="24"/>
          <w:szCs w:val="24"/>
        </w:rPr>
        <w:t>ангиотензину</w:t>
      </w:r>
      <w:proofErr w:type="spellEnd"/>
      <w:r w:rsidRPr="008452C1">
        <w:rPr>
          <w:sz w:val="24"/>
          <w:szCs w:val="24"/>
        </w:rPr>
        <w:t xml:space="preserve"> II должны назначаться с осторожностью пациентам с аортальным или митральным стенозами, или </w:t>
      </w:r>
      <w:proofErr w:type="spellStart"/>
      <w:r w:rsidRPr="008452C1">
        <w:rPr>
          <w:sz w:val="24"/>
          <w:szCs w:val="24"/>
        </w:rPr>
        <w:t>обструктивной</w:t>
      </w:r>
      <w:proofErr w:type="spellEnd"/>
      <w:r w:rsidRPr="008452C1">
        <w:rPr>
          <w:sz w:val="24"/>
          <w:szCs w:val="24"/>
        </w:rPr>
        <w:t xml:space="preserve"> гипертрофической </w:t>
      </w:r>
      <w:proofErr w:type="spellStart"/>
      <w:r w:rsidRPr="008452C1">
        <w:rPr>
          <w:sz w:val="24"/>
          <w:szCs w:val="24"/>
        </w:rPr>
        <w:t>кардиомиопатией</w:t>
      </w:r>
      <w:proofErr w:type="spellEnd"/>
      <w:r w:rsidRPr="008452C1">
        <w:rPr>
          <w:sz w:val="24"/>
          <w:szCs w:val="24"/>
        </w:rPr>
        <w:t>.</w:t>
      </w:r>
      <w:proofErr w:type="gramEnd"/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>Ишемическая болезнь сердца и цереброваскулярные заболевания.</w:t>
      </w:r>
      <w:r w:rsidRPr="008452C1">
        <w:rPr>
          <w:sz w:val="24"/>
          <w:szCs w:val="24"/>
        </w:rPr>
        <w:t xml:space="preserve"> Как и все препараты, обладающие </w:t>
      </w:r>
      <w:proofErr w:type="spellStart"/>
      <w:r w:rsidRPr="008452C1">
        <w:rPr>
          <w:sz w:val="24"/>
          <w:szCs w:val="24"/>
        </w:rPr>
        <w:t>вазодилатирующим</w:t>
      </w:r>
      <w:proofErr w:type="spellEnd"/>
      <w:r w:rsidRPr="008452C1">
        <w:rPr>
          <w:sz w:val="24"/>
          <w:szCs w:val="24"/>
        </w:rPr>
        <w:t xml:space="preserve"> действием, антагонисты рецепторов к </w:t>
      </w:r>
      <w:proofErr w:type="spellStart"/>
      <w:r w:rsidRPr="008452C1">
        <w:rPr>
          <w:sz w:val="24"/>
          <w:szCs w:val="24"/>
        </w:rPr>
        <w:t>ангиотензину</w:t>
      </w:r>
      <w:proofErr w:type="spellEnd"/>
      <w:r w:rsidRPr="008452C1">
        <w:rPr>
          <w:sz w:val="24"/>
          <w:szCs w:val="24"/>
        </w:rPr>
        <w:t xml:space="preserve"> II должны назначаться с осторожностью пациентам с ишемической болезнью сердца или цереброваскулярными заболеваниями, поскольку чрезмерное снижение артериального давления у данной группы пациентов может привести к развитию инфаркта миокарда или инсульта.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>Хроническая сердечная недостаточность (ХСН).</w:t>
      </w:r>
      <w:r w:rsidRPr="008452C1">
        <w:rPr>
          <w:sz w:val="24"/>
          <w:szCs w:val="24"/>
        </w:rPr>
        <w:t xml:space="preserve"> Как и при применении других препаратов, оказывающих действие на РААС, у пациентов с ХСН и </w:t>
      </w:r>
      <w:proofErr w:type="gramStart"/>
      <w:r w:rsidRPr="008452C1">
        <w:rPr>
          <w:sz w:val="24"/>
          <w:szCs w:val="24"/>
        </w:rPr>
        <w:t>с</w:t>
      </w:r>
      <w:proofErr w:type="gramEnd"/>
      <w:r w:rsidRPr="008452C1">
        <w:rPr>
          <w:sz w:val="24"/>
          <w:szCs w:val="24"/>
        </w:rPr>
        <w:t xml:space="preserve"> или </w:t>
      </w:r>
      <w:proofErr w:type="gramStart"/>
      <w:r w:rsidRPr="008452C1">
        <w:rPr>
          <w:sz w:val="24"/>
          <w:szCs w:val="24"/>
        </w:rPr>
        <w:t>без</w:t>
      </w:r>
      <w:proofErr w:type="gramEnd"/>
      <w:r w:rsidRPr="008452C1">
        <w:rPr>
          <w:sz w:val="24"/>
          <w:szCs w:val="24"/>
        </w:rPr>
        <w:t xml:space="preserve"> нарушения функции почек, существует риск развития тяжелой артериальной гипотензии или острой почечной недостаточности.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Отсутствует достаточный опыт применения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у пациентов с сердечной недостаточностью и сопутствующей тяжелой почечной недостаточностью, у пациентов с </w:t>
      </w:r>
      <w:r w:rsidRPr="008452C1">
        <w:rPr>
          <w:sz w:val="24"/>
          <w:szCs w:val="24"/>
        </w:rPr>
        <w:lastRenderedPageBreak/>
        <w:t xml:space="preserve">тяжелой сердечной недостаточностью (IV функционального класса по классификации NYHA), а также у пациентов с сердечной недостаточностью и симптоматическими угрожающими жизни аритмиями. Поэтому </w:t>
      </w:r>
      <w:proofErr w:type="spellStart"/>
      <w:r w:rsidRPr="008452C1">
        <w:rPr>
          <w:sz w:val="24"/>
          <w:szCs w:val="24"/>
        </w:rPr>
        <w:t>лозартан</w:t>
      </w:r>
      <w:proofErr w:type="spellEnd"/>
      <w:r w:rsidRPr="008452C1">
        <w:rPr>
          <w:sz w:val="24"/>
          <w:szCs w:val="24"/>
        </w:rPr>
        <w:t xml:space="preserve"> следует назначать с осторожностью пациентам данных групп.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 xml:space="preserve">Первичный </w:t>
      </w:r>
      <w:proofErr w:type="spellStart"/>
      <w:r w:rsidRPr="008452C1">
        <w:rPr>
          <w:i/>
          <w:iCs/>
          <w:sz w:val="24"/>
          <w:szCs w:val="24"/>
        </w:rPr>
        <w:t>гиперальдостеронизм</w:t>
      </w:r>
      <w:proofErr w:type="spellEnd"/>
      <w:r w:rsidRPr="008452C1">
        <w:rPr>
          <w:i/>
          <w:iCs/>
          <w:sz w:val="24"/>
          <w:szCs w:val="24"/>
        </w:rPr>
        <w:t>.</w:t>
      </w:r>
      <w:r w:rsidRPr="008452C1">
        <w:rPr>
          <w:sz w:val="24"/>
          <w:szCs w:val="24"/>
        </w:rPr>
        <w:t xml:space="preserve"> У пациентов с первичным </w:t>
      </w:r>
      <w:proofErr w:type="spellStart"/>
      <w:r w:rsidRPr="008452C1">
        <w:rPr>
          <w:sz w:val="24"/>
          <w:szCs w:val="24"/>
        </w:rPr>
        <w:t>гиперальдостеронизмом</w:t>
      </w:r>
      <w:proofErr w:type="spellEnd"/>
      <w:r w:rsidRPr="008452C1">
        <w:rPr>
          <w:sz w:val="24"/>
          <w:szCs w:val="24"/>
        </w:rPr>
        <w:t xml:space="preserve">, как правило, не наблюдается положительный ответ на терапию гипотензивными средствами, которые действуют путем ингибирования РААС, поэтому применение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не рекомендуется у данной группы пациентов.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>Нарушение функции печени.</w:t>
      </w:r>
      <w:r w:rsidRPr="008452C1">
        <w:rPr>
          <w:sz w:val="24"/>
          <w:szCs w:val="24"/>
        </w:rPr>
        <w:t xml:space="preserve"> Данные фармакокинетических исследований указывают на то, что концентрация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в плазме крови у пациентов с циррозом печени значительно увеличивается, поэтому пациентам с заболеваниями печени в анамнезе следует применять препарат в более низкой дозе (см. </w:t>
      </w:r>
      <w:r w:rsidRPr="0000619A">
        <w:rPr>
          <w:sz w:val="24"/>
          <w:szCs w:val="24"/>
        </w:rPr>
        <w:t>раздел «Способ</w:t>
      </w:r>
      <w:bookmarkStart w:id="0" w:name="_GoBack"/>
      <w:bookmarkEnd w:id="0"/>
      <w:r w:rsidRPr="008452C1">
        <w:rPr>
          <w:sz w:val="24"/>
          <w:szCs w:val="24"/>
        </w:rPr>
        <w:t xml:space="preserve"> применения и дозы»). 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iCs/>
          <w:sz w:val="24"/>
          <w:szCs w:val="24"/>
        </w:rPr>
        <w:t>Нарушение функции почек.</w:t>
      </w:r>
      <w:r w:rsidRPr="008452C1">
        <w:rPr>
          <w:sz w:val="24"/>
          <w:szCs w:val="24"/>
        </w:rPr>
        <w:t xml:space="preserve"> Вследствие ингибирования РААС у некоторых предрасположенных пациентов наблюдались изменения функции почек, включая развитие почечной недостаточности. Данные изменения могут проходить после прекращения лечения.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sz w:val="24"/>
          <w:szCs w:val="24"/>
        </w:rPr>
        <w:t xml:space="preserve">Некоторые препараты, оказывающие воздействие на РААС, могут увеличивать концентрацию мочевины в крови и </w:t>
      </w:r>
      <w:proofErr w:type="gramStart"/>
      <w:r w:rsidRPr="008452C1">
        <w:rPr>
          <w:sz w:val="24"/>
          <w:szCs w:val="24"/>
        </w:rPr>
        <w:t>сывороточного</w:t>
      </w:r>
      <w:proofErr w:type="gramEnd"/>
      <w:r w:rsidRPr="008452C1">
        <w:rPr>
          <w:sz w:val="24"/>
          <w:szCs w:val="24"/>
        </w:rPr>
        <w:t xml:space="preserve"> </w:t>
      </w:r>
      <w:proofErr w:type="spellStart"/>
      <w:r w:rsidRPr="008452C1">
        <w:rPr>
          <w:sz w:val="24"/>
          <w:szCs w:val="24"/>
        </w:rPr>
        <w:t>креатинина</w:t>
      </w:r>
      <w:proofErr w:type="spellEnd"/>
      <w:r w:rsidRPr="008452C1">
        <w:rPr>
          <w:sz w:val="24"/>
          <w:szCs w:val="24"/>
        </w:rPr>
        <w:t xml:space="preserve"> у пациентов с двусторонним стенозом почечных артерий или стенозом артерии единственной почки. Изменения функции почек могут быть обратимы после терапии. В период лечения необходимо регулярно контролировать  концентрацию </w:t>
      </w:r>
      <w:proofErr w:type="spellStart"/>
      <w:r w:rsidRPr="008452C1">
        <w:rPr>
          <w:sz w:val="24"/>
          <w:szCs w:val="24"/>
        </w:rPr>
        <w:t>креатинина</w:t>
      </w:r>
      <w:proofErr w:type="spellEnd"/>
      <w:r w:rsidRPr="008452C1">
        <w:rPr>
          <w:sz w:val="24"/>
          <w:szCs w:val="24"/>
        </w:rPr>
        <w:t xml:space="preserve"> в сыворотке крови через равные промежутки времени. </w:t>
      </w:r>
    </w:p>
    <w:p w:rsidR="009A1065" w:rsidRPr="008452C1" w:rsidRDefault="009A1065" w:rsidP="009A1065">
      <w:pPr>
        <w:suppressAutoHyphens/>
        <w:jc w:val="both"/>
        <w:rPr>
          <w:sz w:val="24"/>
          <w:szCs w:val="24"/>
        </w:rPr>
      </w:pPr>
      <w:r w:rsidRPr="008452C1">
        <w:rPr>
          <w:i/>
          <w:sz w:val="24"/>
          <w:szCs w:val="24"/>
        </w:rPr>
        <w:t>Пациенты пожилого возраста</w:t>
      </w:r>
      <w:r w:rsidRPr="008452C1">
        <w:rPr>
          <w:sz w:val="24"/>
          <w:szCs w:val="24"/>
        </w:rPr>
        <w:t xml:space="preserve">. Клинические исследования не выявили каких-либо различий в отношении безопасности и эффективности </w:t>
      </w:r>
      <w:proofErr w:type="spellStart"/>
      <w:r w:rsidRPr="008452C1">
        <w:rPr>
          <w:sz w:val="24"/>
          <w:szCs w:val="24"/>
        </w:rPr>
        <w:t>лозартана</w:t>
      </w:r>
      <w:proofErr w:type="spellEnd"/>
      <w:r w:rsidRPr="008452C1">
        <w:rPr>
          <w:sz w:val="24"/>
          <w:szCs w:val="24"/>
        </w:rPr>
        <w:t xml:space="preserve"> у пациентов пожилого возраста.  </w:t>
      </w:r>
    </w:p>
    <w:p w:rsidR="009A1065" w:rsidRPr="008452C1" w:rsidRDefault="009A1065" w:rsidP="009A1065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9A1065" w:rsidRPr="008452C1" w:rsidRDefault="009A1065" w:rsidP="009A1065">
      <w:pPr>
        <w:pStyle w:val="11"/>
        <w:suppressAutoHyphens/>
        <w:rPr>
          <w:b/>
          <w:color w:val="auto"/>
        </w:rPr>
      </w:pPr>
      <w:r w:rsidRPr="008452C1">
        <w:rPr>
          <w:b/>
          <w:color w:val="auto"/>
        </w:rPr>
        <w:t>Влияние на способность управления транспортными средствами и механизмами</w:t>
      </w:r>
    </w:p>
    <w:p w:rsidR="009A1065" w:rsidRPr="008452C1" w:rsidRDefault="009A1065" w:rsidP="009A1065">
      <w:pPr>
        <w:pStyle w:val="21"/>
        <w:suppressAutoHyphens/>
        <w:rPr>
          <w:szCs w:val="24"/>
        </w:rPr>
      </w:pPr>
      <w:r w:rsidRPr="008452C1">
        <w:rPr>
          <w:szCs w:val="24"/>
        </w:rPr>
        <w:t xml:space="preserve">В период лечения необходимо соблюдать осторожность при вождении автотранспорта и занятии другими потенциально опасными видами деятельности, требующими повышенной концентрации внимания и быстроты психомоторных реакций (возможно головокружение, особенно у пациентов, принимавших диуретические лекарственные средства и перешедших на терапию препаратом). </w:t>
      </w:r>
    </w:p>
    <w:p w:rsidR="009A1065" w:rsidRPr="008452C1" w:rsidRDefault="009A1065" w:rsidP="009A1065">
      <w:pPr>
        <w:pStyle w:val="3"/>
        <w:suppressAutoHyphens/>
        <w:jc w:val="both"/>
        <w:rPr>
          <w:b w:val="0"/>
          <w:szCs w:val="24"/>
        </w:rPr>
      </w:pPr>
    </w:p>
    <w:p w:rsidR="009A1065" w:rsidRPr="008452C1" w:rsidRDefault="009A1065" w:rsidP="009A1065">
      <w:pPr>
        <w:pStyle w:val="11"/>
        <w:suppressAutoHyphens/>
        <w:rPr>
          <w:b/>
          <w:color w:val="auto"/>
        </w:rPr>
      </w:pPr>
      <w:r w:rsidRPr="008452C1">
        <w:rPr>
          <w:b/>
          <w:color w:val="auto"/>
        </w:rPr>
        <w:t>Форма выпуска</w:t>
      </w:r>
    </w:p>
    <w:p w:rsidR="009A1065" w:rsidRDefault="009A1065" w:rsidP="009A1065">
      <w:pPr>
        <w:pStyle w:val="11"/>
        <w:suppressAutoHyphens/>
        <w:jc w:val="both"/>
        <w:rPr>
          <w:color w:val="auto"/>
        </w:rPr>
      </w:pPr>
      <w:r w:rsidRPr="008452C1">
        <w:rPr>
          <w:color w:val="auto"/>
        </w:rPr>
        <w:t xml:space="preserve">Таблетки, покрытые пленочной оболочкой, 12,5 мг, 25 мг, 50 мг или 100 мг. </w:t>
      </w:r>
    </w:p>
    <w:p w:rsidR="009A1065" w:rsidRPr="008452C1" w:rsidRDefault="009A1065" w:rsidP="009A1065">
      <w:pPr>
        <w:pStyle w:val="11"/>
        <w:suppressAutoHyphens/>
        <w:jc w:val="both"/>
        <w:rPr>
          <w:color w:val="auto"/>
        </w:rPr>
      </w:pPr>
      <w:r w:rsidRPr="008452C1">
        <w:rPr>
          <w:color w:val="auto"/>
        </w:rPr>
        <w:t>10, 15, 20 или 30 таблеток в контурной ячейковой упаковке</w:t>
      </w:r>
      <w:r>
        <w:rPr>
          <w:color w:val="auto"/>
        </w:rPr>
        <w:t xml:space="preserve"> из пленки поливинилхлоридной и фольги алюминиевой</w:t>
      </w:r>
      <w:r w:rsidRPr="008452C1">
        <w:rPr>
          <w:color w:val="auto"/>
        </w:rPr>
        <w:t>.</w:t>
      </w:r>
    </w:p>
    <w:p w:rsidR="009A1065" w:rsidRPr="008452C1" w:rsidRDefault="009A1065" w:rsidP="009A1065">
      <w:pPr>
        <w:pStyle w:val="11"/>
        <w:suppressAutoHyphens/>
        <w:jc w:val="both"/>
        <w:rPr>
          <w:color w:val="auto"/>
        </w:rPr>
      </w:pPr>
      <w:r w:rsidRPr="008452C1">
        <w:rPr>
          <w:color w:val="auto"/>
        </w:rPr>
        <w:t>30 или 60 таблеток в банке из полиэтилена высокой плотности.</w:t>
      </w:r>
    </w:p>
    <w:p w:rsidR="009A1065" w:rsidRPr="008452C1" w:rsidRDefault="009A1065" w:rsidP="009A1065">
      <w:pPr>
        <w:pStyle w:val="11"/>
        <w:suppressAutoHyphens/>
        <w:jc w:val="both"/>
        <w:rPr>
          <w:color w:val="auto"/>
        </w:rPr>
      </w:pPr>
      <w:r w:rsidRPr="008452C1">
        <w:rPr>
          <w:color w:val="auto"/>
        </w:rPr>
        <w:t xml:space="preserve">1, 2, 3 или 6 контурных ячейковых упаковок по 10 таблеток, 2, 4 или 6 контурных ячейковых упаковок по 15 таблеток, 1 или 3 контурные ячейковые упаковки по </w:t>
      </w:r>
      <w:r w:rsidRPr="008452C1">
        <w:rPr>
          <w:color w:val="auto"/>
        </w:rPr>
        <w:br/>
        <w:t xml:space="preserve">20 таблеток, 1, 2 или 3 контурные ячейковые упаковки по 30 таблеток или одна банка вместе с инструкцией по медицинскому применению в </w:t>
      </w:r>
      <w:proofErr w:type="spellStart"/>
      <w:r w:rsidRPr="008452C1">
        <w:rPr>
          <w:color w:val="auto"/>
        </w:rPr>
        <w:t>пачк</w:t>
      </w:r>
      <w:proofErr w:type="spellEnd"/>
      <w:proofErr w:type="gramStart"/>
      <w:r w:rsidRPr="008452C1">
        <w:rPr>
          <w:color w:val="auto"/>
          <w:lang w:val="en-US"/>
        </w:rPr>
        <w:t>e</w:t>
      </w:r>
      <w:proofErr w:type="gramEnd"/>
      <w:r w:rsidRPr="008452C1">
        <w:rPr>
          <w:color w:val="auto"/>
        </w:rPr>
        <w:t xml:space="preserve"> из картона. </w:t>
      </w:r>
    </w:p>
    <w:p w:rsidR="009A1065" w:rsidRPr="008452C1" w:rsidRDefault="009A1065" w:rsidP="009A1065">
      <w:pPr>
        <w:pStyle w:val="11"/>
        <w:jc w:val="both"/>
        <w:rPr>
          <w:color w:val="auto"/>
        </w:rPr>
      </w:pPr>
    </w:p>
    <w:p w:rsidR="009A1065" w:rsidRPr="008452C1" w:rsidRDefault="009A1065" w:rsidP="009A1065">
      <w:pPr>
        <w:pStyle w:val="11"/>
        <w:rPr>
          <w:b/>
          <w:color w:val="auto"/>
        </w:rPr>
      </w:pPr>
      <w:r w:rsidRPr="008452C1">
        <w:rPr>
          <w:b/>
          <w:color w:val="auto"/>
        </w:rPr>
        <w:t>Условия хранения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Хранить в защищенном от света месте при температуре не выше 25</w:t>
      </w:r>
      <w:r>
        <w:rPr>
          <w:color w:val="auto"/>
        </w:rPr>
        <w:t xml:space="preserve"> </w:t>
      </w:r>
      <w:r w:rsidRPr="008452C1">
        <w:rPr>
          <w:color w:val="auto"/>
        </w:rPr>
        <w:t xml:space="preserve">ºС. 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Хранить в недоступном для детей месте.</w:t>
      </w:r>
    </w:p>
    <w:p w:rsidR="009A1065" w:rsidRPr="008452C1" w:rsidRDefault="009A1065" w:rsidP="009A1065">
      <w:pPr>
        <w:pStyle w:val="11"/>
        <w:rPr>
          <w:color w:val="auto"/>
        </w:rPr>
      </w:pPr>
    </w:p>
    <w:p w:rsidR="009A1065" w:rsidRPr="008452C1" w:rsidRDefault="009A1065" w:rsidP="009A1065">
      <w:pPr>
        <w:pStyle w:val="11"/>
        <w:rPr>
          <w:b/>
          <w:color w:val="auto"/>
        </w:rPr>
      </w:pPr>
      <w:r w:rsidRPr="008452C1">
        <w:rPr>
          <w:b/>
          <w:color w:val="auto"/>
        </w:rPr>
        <w:t>Срок годности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 xml:space="preserve">3 года. 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Не использовать по истечении срока годности.</w:t>
      </w:r>
    </w:p>
    <w:p w:rsidR="009A1065" w:rsidRPr="008452C1" w:rsidRDefault="009A1065" w:rsidP="009A1065">
      <w:pPr>
        <w:pStyle w:val="11"/>
        <w:rPr>
          <w:color w:val="auto"/>
        </w:rPr>
      </w:pPr>
    </w:p>
    <w:p w:rsidR="009A1065" w:rsidRPr="008452C1" w:rsidRDefault="009A1065" w:rsidP="009A1065">
      <w:pPr>
        <w:pStyle w:val="11"/>
        <w:rPr>
          <w:b/>
          <w:color w:val="auto"/>
        </w:rPr>
      </w:pPr>
      <w:r w:rsidRPr="008452C1">
        <w:rPr>
          <w:b/>
          <w:color w:val="auto"/>
        </w:rPr>
        <w:lastRenderedPageBreak/>
        <w:t>Условия отпуска</w:t>
      </w:r>
    </w:p>
    <w:p w:rsidR="009A1065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Отпускают по рецепту.</w:t>
      </w:r>
    </w:p>
    <w:p w:rsidR="009A1065" w:rsidRPr="008452C1" w:rsidRDefault="009A1065" w:rsidP="009A1065">
      <w:pPr>
        <w:pStyle w:val="11"/>
        <w:rPr>
          <w:color w:val="auto"/>
        </w:rPr>
      </w:pPr>
    </w:p>
    <w:p w:rsidR="009A1065" w:rsidRPr="008452C1" w:rsidRDefault="009A1065" w:rsidP="009A1065">
      <w:pPr>
        <w:pStyle w:val="11"/>
        <w:rPr>
          <w:b/>
          <w:color w:val="auto"/>
        </w:rPr>
      </w:pPr>
      <w:r w:rsidRPr="008452C1">
        <w:rPr>
          <w:b/>
          <w:color w:val="auto"/>
        </w:rPr>
        <w:t>Производитель/организация, принимающая претензии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ЗАО «ВЕРТЕКС», Россия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 xml:space="preserve">Юридический адрес: 196135, г. Санкт-Петербург, ул. </w:t>
      </w:r>
      <w:proofErr w:type="spellStart"/>
      <w:r w:rsidRPr="008452C1">
        <w:rPr>
          <w:color w:val="auto"/>
        </w:rPr>
        <w:t>Типанова</w:t>
      </w:r>
      <w:proofErr w:type="spellEnd"/>
      <w:r w:rsidRPr="008452C1">
        <w:rPr>
          <w:color w:val="auto"/>
        </w:rPr>
        <w:t>, 8-100.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Производство/адрес для направления претензий потребителей:</w:t>
      </w:r>
    </w:p>
    <w:p w:rsidR="009A1065" w:rsidRPr="008452C1" w:rsidRDefault="009A1065" w:rsidP="009A1065">
      <w:pPr>
        <w:pStyle w:val="11"/>
        <w:rPr>
          <w:color w:val="auto"/>
        </w:rPr>
      </w:pPr>
      <w:r w:rsidRPr="008452C1">
        <w:rPr>
          <w:color w:val="auto"/>
        </w:rPr>
        <w:t>199106, г. Санкт-Петербург, В. О., 24 линия, д. 27-а.</w:t>
      </w:r>
    </w:p>
    <w:p w:rsidR="009A1065" w:rsidRPr="008452C1" w:rsidRDefault="009A1065" w:rsidP="009A1065">
      <w:pPr>
        <w:pStyle w:val="11"/>
        <w:rPr>
          <w:snapToGrid w:val="0"/>
          <w:color w:val="auto"/>
        </w:rPr>
      </w:pPr>
      <w:r w:rsidRPr="008452C1">
        <w:t>Тел./факс:</w:t>
      </w:r>
      <w:r w:rsidR="00E163E7">
        <w:t xml:space="preserve"> </w:t>
      </w:r>
      <w:r w:rsidR="00E163E7">
        <w:rPr>
          <w:rFonts w:ascii="Times New Roman CYR" w:hAnsi="Times New Roman CYR"/>
          <w:snapToGrid w:val="0"/>
          <w:color w:val="auto"/>
        </w:rPr>
        <w:t>(812) 322 76 38</w:t>
      </w:r>
    </w:p>
    <w:p w:rsidR="009A1065" w:rsidRPr="008452C1" w:rsidRDefault="009A1065" w:rsidP="009A1065">
      <w:pPr>
        <w:pStyle w:val="11"/>
        <w:rPr>
          <w:color w:val="auto"/>
        </w:rPr>
      </w:pPr>
    </w:p>
    <w:p w:rsidR="009A1065" w:rsidRPr="001C491D" w:rsidRDefault="009A1065" w:rsidP="009A1065">
      <w:pPr>
        <w:ind w:left="-180" w:right="-57" w:firstLine="180"/>
        <w:rPr>
          <w:sz w:val="24"/>
        </w:rPr>
      </w:pPr>
      <w:r w:rsidRPr="008452C1">
        <w:rPr>
          <w:sz w:val="24"/>
        </w:rPr>
        <w:t>Представитель ЗАО «ВЕРТЕКС»</w:t>
      </w:r>
      <w:r>
        <w:rPr>
          <w:sz w:val="24"/>
        </w:rPr>
        <w:t xml:space="preserve"> </w:t>
      </w:r>
      <w:r w:rsidRPr="001C491D">
        <w:rPr>
          <w:sz w:val="24"/>
        </w:rPr>
        <w:tab/>
      </w:r>
      <w:r w:rsidRPr="001C491D">
        <w:rPr>
          <w:sz w:val="24"/>
        </w:rPr>
        <w:tab/>
      </w:r>
      <w:r w:rsidRPr="001C491D">
        <w:rPr>
          <w:sz w:val="24"/>
        </w:rPr>
        <w:tab/>
      </w:r>
      <w:r w:rsidRPr="001C491D">
        <w:rPr>
          <w:sz w:val="24"/>
        </w:rPr>
        <w:tab/>
      </w:r>
      <w:r w:rsidRPr="001C491D">
        <w:rPr>
          <w:sz w:val="24"/>
        </w:rPr>
        <w:tab/>
      </w:r>
      <w:r w:rsidRPr="001C491D">
        <w:rPr>
          <w:sz w:val="24"/>
        </w:rPr>
        <w:tab/>
        <w:t>С.</w:t>
      </w:r>
      <w:r>
        <w:rPr>
          <w:sz w:val="24"/>
        </w:rPr>
        <w:t xml:space="preserve"> </w:t>
      </w:r>
      <w:r w:rsidRPr="001C491D">
        <w:rPr>
          <w:sz w:val="24"/>
        </w:rPr>
        <w:t>А. Копатько</w:t>
      </w:r>
    </w:p>
    <w:p w:rsidR="009D345B" w:rsidRDefault="009D345B"/>
    <w:sectPr w:rsidR="009D345B" w:rsidSect="00AF17A4">
      <w:footerReference w:type="even" r:id="rId8"/>
      <w:footerReference w:type="default" r:id="rId9"/>
      <w:pgSz w:w="11906" w:h="16838"/>
      <w:pgMar w:top="1134" w:right="851" w:bottom="1134" w:left="1701" w:header="1440" w:footer="59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5F" w:rsidRDefault="004C4E63">
      <w:r>
        <w:separator/>
      </w:r>
    </w:p>
  </w:endnote>
  <w:endnote w:type="continuationSeparator" w:id="0">
    <w:p w:rsidR="004E015F" w:rsidRDefault="004C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64" w:rsidRDefault="009A1065" w:rsidP="00A837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6F64" w:rsidRDefault="0000619A" w:rsidP="00E431E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64" w:rsidRPr="005627E7" w:rsidRDefault="009A1065" w:rsidP="005627E7">
    <w:pPr>
      <w:pStyle w:val="a8"/>
      <w:ind w:right="360"/>
      <w:jc w:val="right"/>
      <w:rPr>
        <w:sz w:val="24"/>
        <w:szCs w:val="24"/>
        <w:lang w:val="en-US"/>
      </w:rPr>
    </w:pPr>
    <w:r w:rsidRPr="005627E7">
      <w:rPr>
        <w:rStyle w:val="aa"/>
        <w:sz w:val="24"/>
        <w:szCs w:val="24"/>
      </w:rPr>
      <w:fldChar w:fldCharType="begin"/>
    </w:r>
    <w:r w:rsidRPr="005627E7">
      <w:rPr>
        <w:rStyle w:val="aa"/>
        <w:sz w:val="24"/>
        <w:szCs w:val="24"/>
      </w:rPr>
      <w:instrText xml:space="preserve"> PAGE </w:instrText>
    </w:r>
    <w:r w:rsidRPr="005627E7">
      <w:rPr>
        <w:rStyle w:val="aa"/>
        <w:sz w:val="24"/>
        <w:szCs w:val="24"/>
      </w:rPr>
      <w:fldChar w:fldCharType="separate"/>
    </w:r>
    <w:r w:rsidR="0000619A">
      <w:rPr>
        <w:rStyle w:val="aa"/>
        <w:noProof/>
        <w:sz w:val="24"/>
        <w:szCs w:val="24"/>
      </w:rPr>
      <w:t>10</w:t>
    </w:r>
    <w:r w:rsidRPr="005627E7">
      <w:rPr>
        <w:rStyle w:val="a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5F" w:rsidRDefault="004C4E63">
      <w:r>
        <w:separator/>
      </w:r>
    </w:p>
  </w:footnote>
  <w:footnote w:type="continuationSeparator" w:id="0">
    <w:p w:rsidR="004E015F" w:rsidRDefault="004C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95C"/>
    <w:multiLevelType w:val="hybridMultilevel"/>
    <w:tmpl w:val="F5D4829C"/>
    <w:lvl w:ilvl="0" w:tplc="C05630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65"/>
    <w:rsid w:val="0000619A"/>
    <w:rsid w:val="004C4E63"/>
    <w:rsid w:val="004E015F"/>
    <w:rsid w:val="009A1065"/>
    <w:rsid w:val="009D345B"/>
    <w:rsid w:val="00B236F5"/>
    <w:rsid w:val="00E1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06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A1065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A106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10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1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A106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A1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A1065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A1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9A106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9A1065"/>
    <w:rPr>
      <w:color w:val="000000"/>
      <w:sz w:val="24"/>
      <w:szCs w:val="24"/>
    </w:rPr>
  </w:style>
  <w:style w:type="paragraph" w:styleId="a6">
    <w:name w:val="header"/>
    <w:basedOn w:val="a"/>
    <w:link w:val="a7"/>
    <w:rsid w:val="009A10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1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9A1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1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9A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06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A1065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A106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106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10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A106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A1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9A1065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9A10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9A1065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9A1065"/>
    <w:rPr>
      <w:color w:val="000000"/>
      <w:sz w:val="24"/>
      <w:szCs w:val="24"/>
    </w:rPr>
  </w:style>
  <w:style w:type="paragraph" w:styleId="a6">
    <w:name w:val="header"/>
    <w:basedOn w:val="a"/>
    <w:link w:val="a7"/>
    <w:rsid w:val="009A10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A10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9A10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10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9A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Вольфсон Михаил Аркадьевич</dc:creator>
  <cp:lastModifiedBy>Милкина Марина Владимировна</cp:lastModifiedBy>
  <cp:revision>5</cp:revision>
  <dcterms:created xsi:type="dcterms:W3CDTF">2015-03-11T11:00:00Z</dcterms:created>
  <dcterms:modified xsi:type="dcterms:W3CDTF">2015-03-25T11:26:00Z</dcterms:modified>
</cp:coreProperties>
</file>